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12A7C" w14:textId="77777777" w:rsidR="003F592F" w:rsidRPr="004A46EF" w:rsidRDefault="003F592F" w:rsidP="003F592F">
      <w:pPr>
        <w:pStyle w:val="Heading1"/>
      </w:pPr>
    </w:p>
    <w:p w14:paraId="69379383" w14:textId="657A616A" w:rsidR="003F592F" w:rsidRPr="004A46EF" w:rsidRDefault="003F592F" w:rsidP="00E2289B">
      <w:pPr>
        <w:pStyle w:val="Heading1"/>
        <w:jc w:val="center"/>
      </w:pPr>
      <w:r w:rsidRPr="004A46EF">
        <w:t>Sacraments</w:t>
      </w:r>
      <w:r w:rsidR="00E2289B">
        <w:t xml:space="preserve"> of the Reformed Faith</w:t>
      </w:r>
    </w:p>
    <w:p w14:paraId="0DEC497B" w14:textId="0F4D1B6E" w:rsidR="00E37040" w:rsidRPr="004A46EF" w:rsidRDefault="00304FB5" w:rsidP="00304FB5">
      <w:pPr>
        <w:jc w:val="center"/>
      </w:pPr>
      <w:r>
        <w:t>Student’s</w:t>
      </w:r>
      <w:r w:rsidR="00E37040" w:rsidRPr="004A46EF">
        <w:t xml:space="preserve"> Manual</w:t>
      </w:r>
    </w:p>
    <w:p w14:paraId="1422F8D6" w14:textId="0FB04FD4" w:rsidR="003F592F" w:rsidRPr="004A46EF" w:rsidRDefault="003F592F" w:rsidP="003F592F">
      <w:pPr>
        <w:pStyle w:val="Subtitle"/>
        <w:rPr>
          <w:lang w:val="en-US"/>
        </w:rPr>
      </w:pPr>
      <w:r w:rsidRPr="004A46EF">
        <w:rPr>
          <w:lang w:val="en-US"/>
        </w:rPr>
        <w:t xml:space="preserve">A </w:t>
      </w:r>
      <w:r w:rsidR="007B537B" w:rsidRPr="004A46EF">
        <w:rPr>
          <w:lang w:val="en-US"/>
        </w:rPr>
        <w:t>S</w:t>
      </w:r>
      <w:r w:rsidR="007A386D" w:rsidRPr="004A46EF">
        <w:rPr>
          <w:lang w:val="en-US"/>
        </w:rPr>
        <w:t>t</w:t>
      </w:r>
      <w:r w:rsidR="007B537B" w:rsidRPr="004A46EF">
        <w:rPr>
          <w:lang w:val="en-US"/>
        </w:rPr>
        <w:t>ud</w:t>
      </w:r>
      <w:r w:rsidR="007A386D" w:rsidRPr="004A46EF">
        <w:rPr>
          <w:lang w:val="en-US"/>
        </w:rPr>
        <w:t>y</w:t>
      </w:r>
      <w:r w:rsidRPr="004A46EF">
        <w:rPr>
          <w:lang w:val="en-US"/>
        </w:rPr>
        <w:t xml:space="preserve"> Guide</w:t>
      </w:r>
      <w:bookmarkStart w:id="0" w:name="_GoBack"/>
      <w:bookmarkEnd w:id="0"/>
    </w:p>
    <w:p w14:paraId="1CB0E0F8" w14:textId="77777777" w:rsidR="003F592F" w:rsidRPr="004A46EF" w:rsidRDefault="003F592F" w:rsidP="003F592F">
      <w:pPr>
        <w:pStyle w:val="Heading1"/>
      </w:pPr>
    </w:p>
    <w:p w14:paraId="7C2995C0" w14:textId="6262D27F" w:rsidR="00E37040" w:rsidRPr="004A46EF" w:rsidRDefault="00E37040" w:rsidP="00E37040">
      <w:pPr>
        <w:pStyle w:val="Heading2"/>
        <w:rPr>
          <w:lang w:val="en-US"/>
        </w:rPr>
      </w:pPr>
      <w:r w:rsidRPr="004A46EF">
        <w:rPr>
          <w:lang w:val="en-US"/>
        </w:rPr>
        <w:t>Introduction</w:t>
      </w:r>
    </w:p>
    <w:p w14:paraId="043233C6" w14:textId="29BD9FA0" w:rsidR="00E37040" w:rsidRPr="004A46EF" w:rsidRDefault="00E37040" w:rsidP="00E37040">
      <w:r w:rsidRPr="004A46EF">
        <w:t xml:space="preserve">This study guide is intended for small groups and short seminars to introduce </w:t>
      </w:r>
      <w:r w:rsidR="005C5CA2" w:rsidRPr="004A46EF">
        <w:t>the view of sacraments</w:t>
      </w:r>
      <w:r w:rsidRPr="004A46EF">
        <w:t xml:space="preserve"> as held by Presbyterians and other branches of the reformed movement. This explains why references are mad</w:t>
      </w:r>
      <w:r w:rsidR="0015337F" w:rsidRPr="004A46EF">
        <w:t xml:space="preserve">e to the Westminster Confession, not as grounds of authority but for historical reference and clarity. </w:t>
      </w:r>
      <w:r w:rsidRPr="004A46EF">
        <w:t xml:space="preserve"> </w:t>
      </w:r>
    </w:p>
    <w:p w14:paraId="2805600D" w14:textId="77777777" w:rsidR="002A06B8" w:rsidRPr="004A46EF" w:rsidRDefault="002A06B8" w:rsidP="00E37040"/>
    <w:p w14:paraId="25EE1FD3" w14:textId="2C3E8D60" w:rsidR="00FE5DE7" w:rsidRDefault="009A0C65" w:rsidP="00E37040">
      <w:r>
        <w:t>Ample blank</w:t>
      </w:r>
      <w:r w:rsidR="00FE5DE7">
        <w:t xml:space="preserve"> spaces </w:t>
      </w:r>
      <w:r w:rsidR="007E436C">
        <w:t>exist</w:t>
      </w:r>
      <w:r w:rsidR="00FE5DE7">
        <w:t xml:space="preserve"> for the students to take notes.</w:t>
      </w:r>
    </w:p>
    <w:p w14:paraId="6B8E3D48" w14:textId="77777777" w:rsidR="00FE5DE7" w:rsidRDefault="00FE5DE7" w:rsidP="00E37040"/>
    <w:p w14:paraId="73804172" w14:textId="77777777" w:rsidR="00FE5DE7" w:rsidRDefault="00FE5DE7" w:rsidP="00E37040"/>
    <w:p w14:paraId="5804A1F4" w14:textId="77777777" w:rsidR="00087723" w:rsidRPr="00310157" w:rsidRDefault="00087723" w:rsidP="00087723">
      <w:pPr>
        <w:pStyle w:val="Heading2"/>
        <w:rPr>
          <w:lang w:val="en-US"/>
        </w:rPr>
      </w:pPr>
      <w:r w:rsidRPr="00310157">
        <w:rPr>
          <w:lang w:val="en-US"/>
        </w:rPr>
        <w:t xml:space="preserve">Contents </w:t>
      </w:r>
      <w:bookmarkStart w:id="1" w:name="top"/>
      <w:bookmarkEnd w:id="1"/>
    </w:p>
    <w:p w14:paraId="44C5FFE8" w14:textId="77777777" w:rsidR="00087723" w:rsidRDefault="00E2289B" w:rsidP="00087723">
      <w:hyperlink w:anchor="one" w:history="1">
        <w:r w:rsidR="00087723" w:rsidRPr="005A7CB6">
          <w:rPr>
            <w:rStyle w:val="Hyperlink"/>
          </w:rPr>
          <w:t>Lesson One</w:t>
        </w:r>
      </w:hyperlink>
      <w:r w:rsidR="00087723">
        <w:t>: Rules of interpretation</w:t>
      </w:r>
      <w:r w:rsidR="00087723">
        <w:br/>
      </w:r>
    </w:p>
    <w:p w14:paraId="7AF74131" w14:textId="77777777" w:rsidR="00087723" w:rsidRDefault="00E2289B" w:rsidP="00087723">
      <w:hyperlink w:anchor="two" w:history="1">
        <w:r w:rsidR="00087723" w:rsidRPr="005A7CB6">
          <w:rPr>
            <w:rStyle w:val="Hyperlink"/>
          </w:rPr>
          <w:t>Lesson Two</w:t>
        </w:r>
      </w:hyperlink>
      <w:r w:rsidR="00087723">
        <w:t xml:space="preserve">: The Covenant of Grace  </w:t>
      </w:r>
      <w:r w:rsidR="00087723">
        <w:br/>
      </w:r>
    </w:p>
    <w:p w14:paraId="7A8CF3CD" w14:textId="77777777" w:rsidR="00087723" w:rsidRDefault="00E2289B" w:rsidP="00087723">
      <w:hyperlink w:anchor="three" w:history="1">
        <w:r w:rsidR="00087723" w:rsidRPr="005A7CB6">
          <w:rPr>
            <w:rStyle w:val="Hyperlink"/>
          </w:rPr>
          <w:t>Lesson Three</w:t>
        </w:r>
      </w:hyperlink>
      <w:r w:rsidR="00087723">
        <w:t>: Baptism, meaning and mode</w:t>
      </w:r>
      <w:r w:rsidR="00087723">
        <w:br/>
      </w:r>
    </w:p>
    <w:p w14:paraId="0C71FB2F" w14:textId="77777777" w:rsidR="00087723" w:rsidRDefault="00E2289B" w:rsidP="00087723">
      <w:hyperlink w:anchor="four" w:history="1">
        <w:r w:rsidR="00087723" w:rsidRPr="005A7CB6">
          <w:rPr>
            <w:rStyle w:val="Hyperlink"/>
          </w:rPr>
          <w:t>Lesson Four:</w:t>
        </w:r>
      </w:hyperlink>
      <w:r w:rsidR="00087723">
        <w:t xml:space="preserve"> The Lord’s Supper</w:t>
      </w:r>
      <w:r w:rsidR="00087723">
        <w:br/>
      </w:r>
    </w:p>
    <w:p w14:paraId="0BBDE95C" w14:textId="77777777" w:rsidR="00087723" w:rsidRDefault="00E2289B" w:rsidP="00087723">
      <w:pPr>
        <w:sectPr w:rsidR="00087723" w:rsidSect="003764E1">
          <w:endnotePr>
            <w:numFmt w:val="decimal"/>
          </w:endnotePr>
          <w:pgSz w:w="12240" w:h="15840"/>
          <w:pgMar w:top="1440" w:right="1440" w:bottom="1440" w:left="1440" w:header="360" w:footer="360" w:gutter="0"/>
          <w:cols w:space="720"/>
        </w:sectPr>
      </w:pPr>
      <w:hyperlink w:anchor="five" w:history="1">
        <w:r w:rsidR="00087723" w:rsidRPr="005A7CB6">
          <w:rPr>
            <w:rStyle w:val="Hyperlink"/>
          </w:rPr>
          <w:t>Lesson Five</w:t>
        </w:r>
      </w:hyperlink>
      <w:r w:rsidR="00087723">
        <w:t>: Secondary Issues</w:t>
      </w:r>
    </w:p>
    <w:p w14:paraId="48B3388D" w14:textId="35D2974F" w:rsidR="003F592F" w:rsidRPr="004A46EF" w:rsidRDefault="00E2289B" w:rsidP="003F592F">
      <w:pPr>
        <w:pStyle w:val="Heading1"/>
      </w:pPr>
      <w:hyperlink w:anchor="top" w:history="1">
        <w:r w:rsidR="007B537B" w:rsidRPr="00FE5DE7">
          <w:rPr>
            <w:rStyle w:val="Hyperlink"/>
          </w:rPr>
          <w:t>Lesson One</w:t>
        </w:r>
      </w:hyperlink>
      <w:r w:rsidR="007B537B" w:rsidRPr="004A46EF">
        <w:t>: Rules of interpretat</w:t>
      </w:r>
      <w:r w:rsidR="004F5B85">
        <w:t xml:space="preserve">ion in the study of sacraments </w:t>
      </w:r>
      <w:bookmarkStart w:id="2" w:name="one"/>
      <w:bookmarkEnd w:id="2"/>
    </w:p>
    <w:p w14:paraId="1E8D4461" w14:textId="77777777" w:rsidR="003F592F" w:rsidRPr="004A46EF" w:rsidRDefault="003F592F" w:rsidP="003F592F">
      <w:pPr>
        <w:jc w:val="both"/>
      </w:pPr>
    </w:p>
    <w:p w14:paraId="042481DF" w14:textId="77777777" w:rsidR="003F592F" w:rsidRDefault="003F592F" w:rsidP="003F592F">
      <w:pPr>
        <w:jc w:val="both"/>
        <w:rPr>
          <w:color w:val="FF0000"/>
        </w:rPr>
      </w:pPr>
    </w:p>
    <w:p w14:paraId="06977A20" w14:textId="77777777" w:rsidR="003D68A0" w:rsidRDefault="003D68A0" w:rsidP="003F592F">
      <w:pPr>
        <w:jc w:val="both"/>
        <w:rPr>
          <w:color w:val="FF0000"/>
        </w:rPr>
      </w:pPr>
    </w:p>
    <w:p w14:paraId="7C34C988" w14:textId="77777777" w:rsidR="003D68A0" w:rsidRPr="004A46EF" w:rsidRDefault="003D68A0" w:rsidP="003F592F">
      <w:pPr>
        <w:jc w:val="both"/>
      </w:pPr>
    </w:p>
    <w:p w14:paraId="0796F32D" w14:textId="77777777" w:rsidR="003F592F" w:rsidRPr="004A46EF" w:rsidRDefault="003F592F" w:rsidP="003F592F">
      <w:pPr>
        <w:jc w:val="both"/>
      </w:pPr>
      <w:r w:rsidRPr="004A46EF">
        <w:t xml:space="preserve">Certain rules of interpretation become especially important in the study of the sacraments. The reason is the biblical data is often a part of a discourse on other subjects. </w:t>
      </w:r>
    </w:p>
    <w:p w14:paraId="44FBAA70" w14:textId="77777777" w:rsidR="003F592F" w:rsidRPr="004A46EF" w:rsidRDefault="003F592F" w:rsidP="003F592F">
      <w:pPr>
        <w:jc w:val="both"/>
      </w:pPr>
    </w:p>
    <w:p w14:paraId="268A0689" w14:textId="77777777" w:rsidR="003F592F" w:rsidRDefault="003F592F" w:rsidP="003F592F">
      <w:pPr>
        <w:jc w:val="both"/>
        <w:rPr>
          <w:color w:val="FF0000"/>
        </w:rPr>
      </w:pPr>
    </w:p>
    <w:p w14:paraId="1024512F" w14:textId="77777777" w:rsidR="003D68A0" w:rsidRDefault="003D68A0" w:rsidP="003F592F">
      <w:pPr>
        <w:jc w:val="both"/>
        <w:rPr>
          <w:color w:val="FF0000"/>
        </w:rPr>
      </w:pPr>
    </w:p>
    <w:p w14:paraId="5C4B2568" w14:textId="77777777" w:rsidR="003D68A0" w:rsidRPr="004A46EF" w:rsidRDefault="003D68A0" w:rsidP="003F592F">
      <w:pPr>
        <w:jc w:val="both"/>
      </w:pPr>
    </w:p>
    <w:p w14:paraId="182988CB" w14:textId="77777777" w:rsidR="003F592F" w:rsidRPr="004A46EF" w:rsidRDefault="003F592F" w:rsidP="003F592F">
      <w:pPr>
        <w:pStyle w:val="ListNumber2"/>
        <w:widowControl w:val="0"/>
        <w:numPr>
          <w:ilvl w:val="0"/>
          <w:numId w:val="6"/>
        </w:numPr>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4A46EF">
        <w:t xml:space="preserve">Unity of scripture </w:t>
      </w:r>
    </w:p>
    <w:p w14:paraId="0C71911E" w14:textId="77777777" w:rsidR="003F592F" w:rsidRPr="004A46EF" w:rsidRDefault="003F592F" w:rsidP="003F592F">
      <w:pPr>
        <w:pStyle w:val="ListParagraph"/>
        <w:widowControl w:val="0"/>
        <w:numPr>
          <w:ilvl w:val="0"/>
          <w:numId w:val="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4A46EF">
        <w:t>Validity of inferential logic</w:t>
      </w:r>
    </w:p>
    <w:p w14:paraId="7BD8D64E" w14:textId="77777777" w:rsidR="003F592F" w:rsidRPr="004A46EF" w:rsidRDefault="003F592F" w:rsidP="003F592F">
      <w:pPr>
        <w:pStyle w:val="ListParagraph"/>
        <w:widowControl w:val="0"/>
        <w:numPr>
          <w:ilvl w:val="0"/>
          <w:numId w:val="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4A46EF">
        <w:t>Cross-referencing is necessary</w:t>
      </w:r>
    </w:p>
    <w:p w14:paraId="48A26732" w14:textId="77777777" w:rsidR="003F592F" w:rsidRPr="004A46EF" w:rsidRDefault="003F592F" w:rsidP="003F592F">
      <w:pPr>
        <w:pStyle w:val="ListNumber2"/>
        <w:widowControl w:val="0"/>
        <w:numPr>
          <w:ilvl w:val="0"/>
          <w:numId w:val="6"/>
        </w:numPr>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4A46EF">
        <w:t xml:space="preserve">The principle of clarity. </w:t>
      </w:r>
    </w:p>
    <w:p w14:paraId="195DC28E" w14:textId="77777777" w:rsidR="003F592F" w:rsidRPr="004A46EF" w:rsidRDefault="003F592F" w:rsidP="003F592F">
      <w:pPr>
        <w:pStyle w:val="ListParagraph"/>
        <w:widowControl w:val="0"/>
        <w:numPr>
          <w:ilvl w:val="0"/>
          <w:numId w:val="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4A46EF">
        <w:t xml:space="preserve">The singularity of interpretation.  </w:t>
      </w:r>
    </w:p>
    <w:p w14:paraId="3CFD8FD0" w14:textId="77777777" w:rsidR="003F592F" w:rsidRPr="004A46EF" w:rsidRDefault="003F592F" w:rsidP="003F592F">
      <w:pPr>
        <w:pStyle w:val="Title"/>
        <w:jc w:val="both"/>
      </w:pPr>
    </w:p>
    <w:p w14:paraId="6682EA50" w14:textId="786078C0" w:rsidR="003F592F" w:rsidRPr="004A46EF" w:rsidRDefault="002A06B8" w:rsidP="003F592F">
      <w:pPr>
        <w:pStyle w:val="Heading2"/>
        <w:rPr>
          <w:lang w:val="en-US"/>
        </w:rPr>
      </w:pPr>
      <w:r w:rsidRPr="004A46EF">
        <w:rPr>
          <w:lang w:val="en-US"/>
        </w:rPr>
        <w:t>Westminster Confession of Faith</w:t>
      </w:r>
    </w:p>
    <w:p w14:paraId="4763F167" w14:textId="7D02472E" w:rsidR="003F592F" w:rsidRPr="004A46EF" w:rsidRDefault="00222873" w:rsidP="003F592F">
      <w:pPr>
        <w:jc w:val="both"/>
      </w:pPr>
      <w:r w:rsidRPr="004A46EF">
        <w:t>Extra</w:t>
      </w:r>
      <w:r w:rsidR="00757BA1" w:rsidRPr="004A46EF">
        <w:t>c</w:t>
      </w:r>
      <w:r w:rsidRPr="004A46EF">
        <w:t>ts from Chapter 1- Of the Holy Scriptures</w:t>
      </w:r>
    </w:p>
    <w:p w14:paraId="4DA6A77E" w14:textId="4E534603" w:rsidR="003F592F" w:rsidRPr="004A46EF" w:rsidRDefault="00222873" w:rsidP="00222873">
      <w:pPr>
        <w:jc w:val="both"/>
      </w:pPr>
      <w:r w:rsidRPr="004A46EF">
        <w:t xml:space="preserve">Rules of Interpretation (Hermeneutics) </w:t>
      </w:r>
    </w:p>
    <w:p w14:paraId="0D74626B" w14:textId="77777777" w:rsidR="003F592F" w:rsidRPr="004A46EF" w:rsidRDefault="003F592F" w:rsidP="003F592F">
      <w:pPr>
        <w:pStyle w:val="Heading3"/>
      </w:pPr>
      <w:r w:rsidRPr="004A46EF">
        <w:t>The unity of scripture</w:t>
      </w:r>
    </w:p>
    <w:p w14:paraId="58962335" w14:textId="77777777" w:rsidR="003F592F" w:rsidRDefault="003F592F" w:rsidP="003F592F">
      <w:pPr>
        <w:jc w:val="both"/>
        <w:rPr>
          <w:color w:val="FF0000"/>
        </w:rPr>
      </w:pPr>
    </w:p>
    <w:p w14:paraId="49E6DC80" w14:textId="77777777" w:rsidR="003D68A0" w:rsidRDefault="003D68A0" w:rsidP="003F592F">
      <w:pPr>
        <w:jc w:val="both"/>
        <w:rPr>
          <w:color w:val="FF0000"/>
        </w:rPr>
      </w:pPr>
    </w:p>
    <w:p w14:paraId="39036436" w14:textId="77777777" w:rsidR="003D68A0" w:rsidRPr="004A46EF" w:rsidRDefault="003D68A0" w:rsidP="003F592F">
      <w:pPr>
        <w:jc w:val="both"/>
      </w:pPr>
    </w:p>
    <w:p w14:paraId="12D19D98" w14:textId="77777777" w:rsidR="003F592F" w:rsidRPr="004A46EF" w:rsidRDefault="003F592F" w:rsidP="003F592F">
      <w:pPr>
        <w:pStyle w:val="Heading3"/>
      </w:pPr>
      <w:r w:rsidRPr="004A46EF">
        <w:t>Validity of inferential logic</w:t>
      </w:r>
    </w:p>
    <w:p w14:paraId="0E9794EE" w14:textId="19EADF47" w:rsidR="003F592F" w:rsidRPr="004A46EF" w:rsidRDefault="00094597" w:rsidP="00EC6100">
      <w:pPr>
        <w:pStyle w:val="Quote"/>
        <w:rPr>
          <w:rFonts w:ascii="Times-Roman" w:eastAsiaTheme="minorEastAsia" w:hAnsi="Times-Roman" w:cs="Times-Roman"/>
          <w:szCs w:val="24"/>
          <w:lang w:eastAsia="ja-JP"/>
        </w:rPr>
      </w:pPr>
      <w:r w:rsidRPr="004A46EF">
        <w:rPr>
          <w:rFonts w:eastAsiaTheme="minorEastAsia"/>
          <w:lang w:eastAsia="ja-JP"/>
        </w:rPr>
        <w:t>“</w:t>
      </w:r>
      <w:r w:rsidR="00EC6100" w:rsidRPr="004A46EF">
        <w:rPr>
          <w:rFonts w:eastAsiaTheme="minorEastAsia"/>
          <w:lang w:eastAsia="ja-JP"/>
        </w:rPr>
        <w:t xml:space="preserve">The whole counsel of God concerning all things necessary for His own glory, man's salvation, faith and life, is either expressly set down in Scripture, or </w:t>
      </w:r>
      <w:r w:rsidR="00EC6100" w:rsidRPr="004A46EF">
        <w:rPr>
          <w:rFonts w:eastAsiaTheme="minorEastAsia"/>
          <w:u w:val="single"/>
          <w:lang w:eastAsia="ja-JP"/>
        </w:rPr>
        <w:t>by good and necessary consequence may be deduced from Scripture</w:t>
      </w:r>
      <w:r w:rsidR="00EC6100" w:rsidRPr="004A46EF">
        <w:rPr>
          <w:rFonts w:eastAsiaTheme="minorEastAsia"/>
          <w:lang w:eastAsia="ja-JP"/>
        </w:rPr>
        <w:t>:</w:t>
      </w:r>
      <w:r w:rsidRPr="004A46EF">
        <w:rPr>
          <w:rFonts w:eastAsiaTheme="minorEastAsia"/>
          <w:lang w:eastAsia="ja-JP"/>
        </w:rPr>
        <w:t>”</w:t>
      </w:r>
      <w:r w:rsidR="00EC6100" w:rsidRPr="004A46EF">
        <w:rPr>
          <w:rFonts w:eastAsiaTheme="minorEastAsia"/>
          <w:lang w:eastAsia="ja-JP"/>
        </w:rPr>
        <w:t xml:space="preserve"> </w:t>
      </w:r>
      <w:r w:rsidR="003F592F" w:rsidRPr="004A46EF">
        <w:rPr>
          <w:rFonts w:ascii="Times-Roman" w:eastAsiaTheme="minorEastAsia" w:hAnsi="Times-Roman" w:cs="Times-Roman"/>
          <w:szCs w:val="24"/>
          <w:lang w:eastAsia="ja-JP"/>
        </w:rPr>
        <w:t>Chapter 1, Article 6</w:t>
      </w:r>
    </w:p>
    <w:p w14:paraId="68393797" w14:textId="77777777" w:rsidR="003F592F" w:rsidRPr="004A46EF" w:rsidRDefault="003F592F" w:rsidP="00757BA1">
      <w:pPr>
        <w:pStyle w:val="Quote"/>
        <w:rPr>
          <w:rFonts w:ascii="Times-Roman" w:eastAsiaTheme="minorEastAsia" w:hAnsi="Times-Roman" w:cs="Times-Roman"/>
          <w:szCs w:val="24"/>
          <w:lang w:eastAsia="ja-JP"/>
        </w:rPr>
      </w:pPr>
    </w:p>
    <w:p w14:paraId="584BECB6" w14:textId="77777777" w:rsidR="003F592F" w:rsidRDefault="003F592F" w:rsidP="003F592F">
      <w:pPr>
        <w:jc w:val="both"/>
        <w:rPr>
          <w:color w:val="FF0000"/>
        </w:rPr>
      </w:pPr>
    </w:p>
    <w:p w14:paraId="52284C59" w14:textId="77777777" w:rsidR="003D68A0" w:rsidRPr="004A46EF" w:rsidRDefault="003D68A0" w:rsidP="003F592F">
      <w:pPr>
        <w:jc w:val="both"/>
      </w:pPr>
    </w:p>
    <w:p w14:paraId="73C4F009" w14:textId="77777777" w:rsidR="003F592F" w:rsidRPr="004A46EF" w:rsidRDefault="003F592F" w:rsidP="003F592F">
      <w:pPr>
        <w:jc w:val="both"/>
        <w:rPr>
          <w:color w:val="008000"/>
        </w:rPr>
      </w:pPr>
      <w:r w:rsidRPr="004A46EF">
        <w:rPr>
          <w:color w:val="008000"/>
        </w:rPr>
        <w:t xml:space="preserve">Example: Seeing a man walking down the beach is a direct observation and counts as eye witness evidence. Seeing the footprints in the sand of a man is an indirect observation from which we </w:t>
      </w:r>
      <w:r w:rsidRPr="004A46EF">
        <w:rPr>
          <w:i/>
          <w:color w:val="008000"/>
        </w:rPr>
        <w:t>infer</w:t>
      </w:r>
      <w:r w:rsidRPr="004A46EF">
        <w:rPr>
          <w:color w:val="008000"/>
        </w:rPr>
        <w:t xml:space="preserve"> that a man was walking on the beach. </w:t>
      </w:r>
    </w:p>
    <w:p w14:paraId="65397504" w14:textId="77777777" w:rsidR="003F592F" w:rsidRPr="004A46EF" w:rsidRDefault="003F592F" w:rsidP="003F592F">
      <w:pPr>
        <w:jc w:val="both"/>
      </w:pPr>
    </w:p>
    <w:p w14:paraId="7106E3A1" w14:textId="77777777" w:rsidR="003F592F" w:rsidRDefault="003F592F" w:rsidP="003F592F">
      <w:pPr>
        <w:jc w:val="both"/>
        <w:rPr>
          <w:color w:val="FF0000"/>
        </w:rPr>
      </w:pPr>
    </w:p>
    <w:p w14:paraId="6F05DF46" w14:textId="77777777" w:rsidR="003D68A0" w:rsidRDefault="003D68A0" w:rsidP="003F592F">
      <w:pPr>
        <w:jc w:val="both"/>
        <w:rPr>
          <w:color w:val="FF0000"/>
        </w:rPr>
      </w:pPr>
    </w:p>
    <w:p w14:paraId="4F5384AD" w14:textId="77777777" w:rsidR="003D68A0" w:rsidRDefault="003D68A0" w:rsidP="003F592F">
      <w:pPr>
        <w:jc w:val="both"/>
        <w:rPr>
          <w:color w:val="FF0000"/>
        </w:rPr>
      </w:pPr>
    </w:p>
    <w:p w14:paraId="5215D19D" w14:textId="77777777" w:rsidR="003D68A0" w:rsidRDefault="003D68A0" w:rsidP="003F592F">
      <w:pPr>
        <w:jc w:val="both"/>
        <w:rPr>
          <w:color w:val="FF0000"/>
        </w:rPr>
      </w:pPr>
    </w:p>
    <w:p w14:paraId="2A175C0A" w14:textId="77777777" w:rsidR="003D68A0" w:rsidRDefault="003D68A0" w:rsidP="003F592F">
      <w:pPr>
        <w:jc w:val="both"/>
        <w:rPr>
          <w:color w:val="FF0000"/>
        </w:rPr>
      </w:pPr>
    </w:p>
    <w:p w14:paraId="5D32A39A" w14:textId="77777777" w:rsidR="003D68A0" w:rsidRDefault="003D68A0" w:rsidP="003F592F">
      <w:pPr>
        <w:jc w:val="both"/>
        <w:rPr>
          <w:color w:val="FF0000"/>
        </w:rPr>
      </w:pPr>
    </w:p>
    <w:p w14:paraId="7ABB3F15" w14:textId="77777777" w:rsidR="003D68A0" w:rsidRDefault="003D68A0" w:rsidP="003F592F">
      <w:pPr>
        <w:jc w:val="both"/>
        <w:rPr>
          <w:color w:val="FF0000"/>
        </w:rPr>
      </w:pPr>
    </w:p>
    <w:p w14:paraId="7C6FF74B" w14:textId="77777777" w:rsidR="003D68A0" w:rsidRDefault="003D68A0" w:rsidP="003F592F">
      <w:pPr>
        <w:jc w:val="both"/>
        <w:rPr>
          <w:color w:val="FF0000"/>
        </w:rPr>
      </w:pPr>
    </w:p>
    <w:p w14:paraId="6E6F0363" w14:textId="77777777" w:rsidR="003D68A0" w:rsidRPr="004A46EF" w:rsidRDefault="003D68A0" w:rsidP="003F592F">
      <w:pPr>
        <w:jc w:val="both"/>
      </w:pPr>
    </w:p>
    <w:p w14:paraId="30579CA3" w14:textId="77777777" w:rsidR="003F592F" w:rsidRPr="004A46EF" w:rsidRDefault="003F592F" w:rsidP="003F592F">
      <w:pPr>
        <w:jc w:val="both"/>
        <w:rPr>
          <w:color w:val="008000"/>
        </w:rPr>
      </w:pPr>
      <w:r w:rsidRPr="004A46EF">
        <w:rPr>
          <w:color w:val="008000"/>
        </w:rPr>
        <w:t xml:space="preserve">Example: We do not need an example of women taking communion. We only need to ask if the whole congregation participates and if women are members. This establishes the fact, with no need of examples. </w:t>
      </w:r>
    </w:p>
    <w:p w14:paraId="2C20EA83" w14:textId="77777777" w:rsidR="003F592F" w:rsidRPr="004A46EF" w:rsidRDefault="003F592F" w:rsidP="003F592F">
      <w:pPr>
        <w:jc w:val="both"/>
      </w:pPr>
    </w:p>
    <w:p w14:paraId="05D18081" w14:textId="77777777" w:rsidR="003F592F" w:rsidRPr="004A46EF" w:rsidRDefault="003F592F" w:rsidP="003F592F">
      <w:pPr>
        <w:pStyle w:val="Heading3"/>
      </w:pPr>
      <w:r w:rsidRPr="004A46EF">
        <w:t>The necessity of cross-referencing</w:t>
      </w:r>
    </w:p>
    <w:p w14:paraId="79998BBE" w14:textId="08ABFEBD" w:rsidR="00C36F50" w:rsidRPr="004A46EF" w:rsidRDefault="00552080" w:rsidP="00C36F50">
      <w:pPr>
        <w:pStyle w:val="Quote"/>
        <w:rPr>
          <w:rFonts w:ascii="Times-Roman" w:eastAsiaTheme="minorEastAsia" w:hAnsi="Times-Roman" w:cs="Times-Roman"/>
          <w:szCs w:val="24"/>
          <w:lang w:eastAsia="ja-JP"/>
        </w:rPr>
      </w:pPr>
      <w:r w:rsidRPr="004A46EF">
        <w:rPr>
          <w:rFonts w:eastAsiaTheme="minorEastAsia"/>
          <w:lang w:eastAsia="ja-JP"/>
        </w:rPr>
        <w:t>“</w:t>
      </w:r>
      <w:r w:rsidR="00C36F50" w:rsidRPr="004A46EF">
        <w:rPr>
          <w:rFonts w:eastAsiaTheme="minorEastAsia"/>
          <w:lang w:eastAsia="ja-JP"/>
        </w:rPr>
        <w:t>All things in Scripture are not alike plain in themselves, nor alike clear unto all:</w:t>
      </w:r>
      <w:r w:rsidR="00976931" w:rsidRPr="004A46EF">
        <w:rPr>
          <w:rFonts w:eastAsiaTheme="minorEastAsia"/>
          <w:color w:val="810000"/>
          <w:sz w:val="17"/>
          <w:szCs w:val="17"/>
          <w:lang w:eastAsia="ja-JP"/>
        </w:rPr>
        <w:t xml:space="preserve"> </w:t>
      </w:r>
      <w:r w:rsidR="00C36F50" w:rsidRPr="004A46EF">
        <w:rPr>
          <w:rFonts w:eastAsiaTheme="minorEastAsia"/>
          <w:lang w:eastAsia="ja-JP"/>
        </w:rPr>
        <w:t>yet those things which are necessary to be known, believed, and observed for salvation are so clearly propounded, and opened in some place of Scripture or other, that not only the learned, but the unlearned, in a due use of the ordinary means, may attain unto a sufficient understanding of them.</w:t>
      </w:r>
      <w:r w:rsidRPr="004A46EF">
        <w:rPr>
          <w:rFonts w:eastAsiaTheme="minorEastAsia"/>
          <w:lang w:eastAsia="ja-JP"/>
        </w:rPr>
        <w:t>”</w:t>
      </w:r>
      <w:r w:rsidR="00C36F50" w:rsidRPr="004A46EF">
        <w:rPr>
          <w:rFonts w:eastAsiaTheme="minorEastAsia"/>
          <w:lang w:eastAsia="ja-JP"/>
        </w:rPr>
        <w:t xml:space="preserve"> </w:t>
      </w:r>
      <w:r w:rsidR="00B208E5" w:rsidRPr="004A46EF">
        <w:rPr>
          <w:rFonts w:ascii="Times-Roman" w:eastAsiaTheme="minorEastAsia" w:hAnsi="Times-Roman" w:cs="Times-Roman"/>
          <w:szCs w:val="24"/>
          <w:lang w:eastAsia="ja-JP"/>
        </w:rPr>
        <w:t xml:space="preserve">Chapter </w:t>
      </w:r>
      <w:r w:rsidR="00D80994" w:rsidRPr="004A46EF">
        <w:rPr>
          <w:rFonts w:ascii="Times-Roman" w:eastAsiaTheme="minorEastAsia" w:hAnsi="Times-Roman" w:cs="Times-Roman"/>
          <w:szCs w:val="24"/>
          <w:lang w:eastAsia="ja-JP"/>
        </w:rPr>
        <w:t>1</w:t>
      </w:r>
      <w:r w:rsidR="00B208E5" w:rsidRPr="004A46EF">
        <w:rPr>
          <w:rFonts w:ascii="Times-Roman" w:eastAsiaTheme="minorEastAsia" w:hAnsi="Times-Roman" w:cs="Times-Roman"/>
          <w:szCs w:val="24"/>
          <w:lang w:eastAsia="ja-JP"/>
        </w:rPr>
        <w:t xml:space="preserve">, Article </w:t>
      </w:r>
      <w:r w:rsidR="00D80994" w:rsidRPr="004A46EF">
        <w:rPr>
          <w:rFonts w:ascii="Times-Roman" w:eastAsiaTheme="minorEastAsia" w:hAnsi="Times-Roman" w:cs="Times-Roman"/>
          <w:szCs w:val="24"/>
          <w:lang w:eastAsia="ja-JP"/>
        </w:rPr>
        <w:t>7</w:t>
      </w:r>
      <w:r w:rsidR="00B208E5" w:rsidRPr="004A46EF">
        <w:rPr>
          <w:rFonts w:ascii="Times-Roman" w:eastAsiaTheme="minorEastAsia" w:hAnsi="Times-Roman" w:cs="Times-Roman"/>
          <w:szCs w:val="24"/>
          <w:lang w:eastAsia="ja-JP"/>
        </w:rPr>
        <w:t>:</w:t>
      </w:r>
      <w:r w:rsidR="00C36F50" w:rsidRPr="004A46EF">
        <w:rPr>
          <w:rFonts w:ascii="Times-Roman" w:eastAsiaTheme="minorEastAsia" w:hAnsi="Times-Roman" w:cs="Times-Roman"/>
          <w:szCs w:val="24"/>
          <w:lang w:eastAsia="ja-JP"/>
        </w:rPr>
        <w:t xml:space="preserve"> </w:t>
      </w:r>
      <w:r w:rsidR="00D80994" w:rsidRPr="004A46EF">
        <w:rPr>
          <w:rFonts w:ascii="Times-Roman" w:eastAsiaTheme="minorEastAsia" w:hAnsi="Times-Roman" w:cs="Times-Roman"/>
          <w:szCs w:val="24"/>
          <w:lang w:eastAsia="ja-JP"/>
        </w:rPr>
        <w:t>Westminster Confession, 1648</w:t>
      </w:r>
    </w:p>
    <w:p w14:paraId="1292FE5F" w14:textId="77777777" w:rsidR="00C36F50" w:rsidRPr="004A46EF" w:rsidRDefault="00C36F50" w:rsidP="00C36F50">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pPr>
    </w:p>
    <w:p w14:paraId="6E5575B4" w14:textId="77777777" w:rsidR="003F592F" w:rsidRDefault="003F592F" w:rsidP="003F592F">
      <w:pPr>
        <w:jc w:val="both"/>
        <w:rPr>
          <w:color w:val="FF0000"/>
        </w:rPr>
      </w:pPr>
    </w:p>
    <w:p w14:paraId="33E1D2A5" w14:textId="77777777" w:rsidR="003D68A0" w:rsidRDefault="003D68A0" w:rsidP="003F592F">
      <w:pPr>
        <w:jc w:val="both"/>
        <w:rPr>
          <w:color w:val="FF0000"/>
        </w:rPr>
      </w:pPr>
    </w:p>
    <w:p w14:paraId="795ACA25" w14:textId="77777777" w:rsidR="003D68A0" w:rsidRDefault="003D68A0" w:rsidP="003F592F">
      <w:pPr>
        <w:jc w:val="both"/>
        <w:rPr>
          <w:color w:val="FF0000"/>
        </w:rPr>
      </w:pPr>
    </w:p>
    <w:p w14:paraId="2B09F537" w14:textId="77777777" w:rsidR="003D68A0" w:rsidRDefault="003D68A0" w:rsidP="003F592F">
      <w:pPr>
        <w:jc w:val="both"/>
        <w:rPr>
          <w:color w:val="FF0000"/>
        </w:rPr>
      </w:pPr>
    </w:p>
    <w:p w14:paraId="3810F78D" w14:textId="77777777" w:rsidR="003D68A0" w:rsidRPr="004A46EF" w:rsidRDefault="003D68A0" w:rsidP="003F592F">
      <w:pPr>
        <w:jc w:val="both"/>
      </w:pPr>
    </w:p>
    <w:p w14:paraId="5F9172E0" w14:textId="77777777" w:rsidR="003F592F" w:rsidRPr="004A46EF" w:rsidRDefault="003F592F" w:rsidP="003F592F">
      <w:pPr>
        <w:pStyle w:val="Heading3"/>
      </w:pPr>
      <w:r w:rsidRPr="004A46EF">
        <w:t xml:space="preserve">The clarity of scripture </w:t>
      </w:r>
    </w:p>
    <w:p w14:paraId="69F0D835" w14:textId="731307FD" w:rsidR="003F592F" w:rsidRPr="004A46EF" w:rsidRDefault="00552080" w:rsidP="00D80994">
      <w:pPr>
        <w:pStyle w:val="Quote"/>
        <w:rPr>
          <w:rFonts w:ascii="Times-Roman" w:eastAsiaTheme="minorEastAsia" w:hAnsi="Times-Roman" w:cs="Times-Roman"/>
          <w:szCs w:val="24"/>
          <w:lang w:eastAsia="ja-JP"/>
        </w:rPr>
      </w:pPr>
      <w:r w:rsidRPr="004A46EF">
        <w:rPr>
          <w:rFonts w:eastAsiaTheme="minorEastAsia"/>
          <w:lang w:eastAsia="ja-JP"/>
        </w:rPr>
        <w:t>“</w:t>
      </w:r>
      <w:r w:rsidR="00D80994" w:rsidRPr="004A46EF">
        <w:rPr>
          <w:rFonts w:eastAsiaTheme="minorEastAsia"/>
          <w:lang w:eastAsia="ja-JP"/>
        </w:rPr>
        <w:t>The infallible rule of interpretation of Scripture is the Scripture itself: and therefore, when there is a question about the true and full sense of any Scripture (which is not manifold, but one), it must be searched</w:t>
      </w:r>
      <w:r w:rsidRPr="004A46EF">
        <w:rPr>
          <w:rFonts w:eastAsiaTheme="minorEastAsia"/>
          <w:lang w:eastAsia="ja-JP"/>
        </w:rPr>
        <w:t xml:space="preserve"> </w:t>
      </w:r>
      <w:r w:rsidR="00D80994" w:rsidRPr="004A46EF">
        <w:rPr>
          <w:rFonts w:eastAsiaTheme="minorEastAsia"/>
          <w:lang w:eastAsia="ja-JP"/>
        </w:rPr>
        <w:t xml:space="preserve">and known by other places that speak more clearly. </w:t>
      </w:r>
      <w:r w:rsidR="003F592F" w:rsidRPr="004A46EF">
        <w:rPr>
          <w:rFonts w:ascii="Times-Roman" w:eastAsiaTheme="minorEastAsia" w:hAnsi="Times-Roman" w:cs="Times-Roman"/>
          <w:szCs w:val="24"/>
          <w:lang w:eastAsia="ja-JP"/>
        </w:rPr>
        <w:t>Chapter 1, Article 10</w:t>
      </w:r>
      <w:r w:rsidR="00D80994" w:rsidRPr="004A46EF">
        <w:rPr>
          <w:rFonts w:ascii="Times-Roman" w:eastAsiaTheme="minorEastAsia" w:hAnsi="Times-Roman" w:cs="Times-Roman"/>
          <w:szCs w:val="24"/>
          <w:lang w:eastAsia="ja-JP"/>
        </w:rPr>
        <w:t xml:space="preserve"> Westminster Confession, 1648 </w:t>
      </w:r>
    </w:p>
    <w:p w14:paraId="57A36B7A" w14:textId="77777777" w:rsidR="003F592F" w:rsidRPr="004A46EF" w:rsidRDefault="003F592F" w:rsidP="00D80994">
      <w:pPr>
        <w:pStyle w:val="Quote"/>
        <w:rPr>
          <w:rFonts w:eastAsiaTheme="minorEastAsia"/>
          <w:lang w:eastAsia="ja-JP"/>
        </w:rPr>
      </w:pPr>
    </w:p>
    <w:p w14:paraId="62B5E5C9" w14:textId="77777777" w:rsidR="003F592F" w:rsidRDefault="003F592F" w:rsidP="003F592F">
      <w:pPr>
        <w:jc w:val="both"/>
        <w:rPr>
          <w:color w:val="FF0000"/>
        </w:rPr>
      </w:pPr>
    </w:p>
    <w:p w14:paraId="7DF5BB61" w14:textId="77777777" w:rsidR="003D68A0" w:rsidRDefault="003D68A0" w:rsidP="003F592F">
      <w:pPr>
        <w:jc w:val="both"/>
        <w:rPr>
          <w:color w:val="FF0000"/>
        </w:rPr>
      </w:pPr>
    </w:p>
    <w:p w14:paraId="57226C4D" w14:textId="77777777" w:rsidR="003D68A0" w:rsidRDefault="003D68A0" w:rsidP="003F592F">
      <w:pPr>
        <w:jc w:val="both"/>
        <w:rPr>
          <w:color w:val="FF0000"/>
        </w:rPr>
      </w:pPr>
    </w:p>
    <w:p w14:paraId="5EA1ADBF" w14:textId="77777777" w:rsidR="003D68A0" w:rsidRPr="004A46EF" w:rsidRDefault="003D68A0" w:rsidP="003F592F">
      <w:pPr>
        <w:jc w:val="both"/>
      </w:pPr>
    </w:p>
    <w:p w14:paraId="773D285B" w14:textId="77777777" w:rsidR="003F592F" w:rsidRPr="004A46EF" w:rsidRDefault="003F592F" w:rsidP="003F592F">
      <w:pPr>
        <w:pStyle w:val="Heading3"/>
      </w:pPr>
      <w:r w:rsidRPr="004A46EF">
        <w:t xml:space="preserve">The singularity of interpretation </w:t>
      </w:r>
    </w:p>
    <w:p w14:paraId="0042312F" w14:textId="61FFE3D3" w:rsidR="003F592F" w:rsidRPr="004A46EF" w:rsidRDefault="00694816" w:rsidP="0023393D">
      <w:pPr>
        <w:pStyle w:val="Quote"/>
        <w:rPr>
          <w:rFonts w:ascii="Times-Roman" w:eastAsiaTheme="minorEastAsia" w:hAnsi="Times-Roman" w:cs="Times-Roman"/>
          <w:iCs w:val="0"/>
          <w:szCs w:val="24"/>
        </w:rPr>
      </w:pPr>
      <w:r w:rsidRPr="004A46EF">
        <w:rPr>
          <w:rFonts w:eastAsiaTheme="minorEastAsia"/>
          <w:iCs w:val="0"/>
        </w:rPr>
        <w:t>“…full sense of any Scripture (which is not manifold, but one)“</w:t>
      </w:r>
      <w:r w:rsidR="0023393D" w:rsidRPr="004A46EF">
        <w:rPr>
          <w:rFonts w:ascii="Times-Roman" w:eastAsiaTheme="minorEastAsia" w:hAnsi="Times-Roman" w:cs="Times-Roman"/>
          <w:color w:val="auto"/>
          <w:szCs w:val="24"/>
        </w:rPr>
        <w:t xml:space="preserve"> </w:t>
      </w:r>
      <w:r w:rsidR="003F592F" w:rsidRPr="004A46EF">
        <w:rPr>
          <w:rFonts w:ascii="Times-Roman" w:eastAsiaTheme="minorEastAsia" w:hAnsi="Times-Roman" w:cs="Times-Roman"/>
          <w:iCs w:val="0"/>
          <w:szCs w:val="24"/>
        </w:rPr>
        <w:t>WCF Chapter 1 Article 1</w:t>
      </w:r>
      <w:r w:rsidRPr="004A46EF">
        <w:rPr>
          <w:rFonts w:ascii="Times-Roman" w:eastAsiaTheme="minorEastAsia" w:hAnsi="Times-Roman" w:cs="Times-Roman"/>
          <w:iCs w:val="0"/>
          <w:szCs w:val="24"/>
        </w:rPr>
        <w:t>1</w:t>
      </w:r>
    </w:p>
    <w:p w14:paraId="066590F3" w14:textId="77777777" w:rsidR="003F592F" w:rsidRPr="004A46EF" w:rsidRDefault="003F592F" w:rsidP="003F592F">
      <w:pPr>
        <w:jc w:val="both"/>
      </w:pPr>
    </w:p>
    <w:p w14:paraId="5C040926" w14:textId="77777777" w:rsidR="003F592F" w:rsidRDefault="003F592F" w:rsidP="003F592F">
      <w:pPr>
        <w:jc w:val="both"/>
        <w:rPr>
          <w:rFonts w:eastAsia="ＭＳ 明朝"/>
          <w:lang w:eastAsia="ja-JP"/>
        </w:rPr>
      </w:pPr>
    </w:p>
    <w:p w14:paraId="7B93682D" w14:textId="77777777" w:rsidR="003D68A0" w:rsidRDefault="003D68A0" w:rsidP="003F592F">
      <w:pPr>
        <w:jc w:val="both"/>
        <w:rPr>
          <w:rFonts w:eastAsia="ＭＳ 明朝"/>
          <w:lang w:eastAsia="ja-JP"/>
        </w:rPr>
      </w:pPr>
    </w:p>
    <w:p w14:paraId="611086D9" w14:textId="77777777" w:rsidR="003D68A0" w:rsidRDefault="003D68A0" w:rsidP="003F592F">
      <w:pPr>
        <w:jc w:val="both"/>
        <w:rPr>
          <w:rFonts w:eastAsia="ＭＳ 明朝"/>
          <w:lang w:eastAsia="ja-JP"/>
        </w:rPr>
      </w:pPr>
    </w:p>
    <w:p w14:paraId="52122074" w14:textId="77777777" w:rsidR="003D68A0" w:rsidRDefault="003D68A0" w:rsidP="003F592F">
      <w:pPr>
        <w:jc w:val="both"/>
        <w:rPr>
          <w:rFonts w:eastAsia="ＭＳ 明朝"/>
          <w:lang w:eastAsia="ja-JP"/>
        </w:rPr>
      </w:pPr>
    </w:p>
    <w:p w14:paraId="1C73D204" w14:textId="77777777" w:rsidR="003D68A0" w:rsidRDefault="003D68A0" w:rsidP="003F592F">
      <w:pPr>
        <w:jc w:val="both"/>
        <w:rPr>
          <w:rFonts w:eastAsia="ＭＳ 明朝"/>
          <w:lang w:eastAsia="ja-JP"/>
        </w:rPr>
      </w:pPr>
    </w:p>
    <w:p w14:paraId="224CAF0F" w14:textId="77777777" w:rsidR="003D68A0" w:rsidRDefault="003D68A0" w:rsidP="003F592F">
      <w:pPr>
        <w:jc w:val="both"/>
        <w:rPr>
          <w:rFonts w:eastAsia="ＭＳ 明朝"/>
          <w:lang w:eastAsia="ja-JP"/>
        </w:rPr>
      </w:pPr>
    </w:p>
    <w:p w14:paraId="72E4907D" w14:textId="77777777" w:rsidR="003D68A0" w:rsidRPr="004A46EF" w:rsidRDefault="003D68A0" w:rsidP="003F592F">
      <w:pPr>
        <w:jc w:val="both"/>
      </w:pPr>
    </w:p>
    <w:p w14:paraId="21CA21D3" w14:textId="5119ABD9" w:rsidR="003F592F" w:rsidRPr="004A46EF" w:rsidRDefault="0034331C" w:rsidP="00757BA1">
      <w:pPr>
        <w:pStyle w:val="Heading2"/>
        <w:rPr>
          <w:lang w:val="en-US"/>
        </w:rPr>
      </w:pPr>
      <w:r w:rsidRPr="004A46EF">
        <w:rPr>
          <w:lang w:val="en-US"/>
        </w:rPr>
        <w:t>Questions</w:t>
      </w:r>
    </w:p>
    <w:p w14:paraId="628054AC" w14:textId="747C2927" w:rsidR="003F592F" w:rsidRPr="004A46EF" w:rsidRDefault="003F592F" w:rsidP="003F592F">
      <w:pPr>
        <w:jc w:val="both"/>
      </w:pPr>
      <w:r w:rsidRPr="004A46EF">
        <w:t xml:space="preserve">1. </w:t>
      </w:r>
      <w:r w:rsidR="00694816" w:rsidRPr="004A46EF">
        <w:t>When a theology question is not “clearly pr</w:t>
      </w:r>
      <w:r w:rsidR="007C109A" w:rsidRPr="004A46EF">
        <w:t xml:space="preserve">opounded” in the Bible, what recourse do we have for knowing what is the correct doctrine? </w:t>
      </w:r>
      <w:r w:rsidRPr="004A46EF">
        <w:t xml:space="preserve">________________________________________ </w:t>
      </w:r>
      <w:r w:rsidR="00BB24E1" w:rsidRPr="004A46EF">
        <w:rPr>
          <w:rStyle w:val="EndnoteReference"/>
        </w:rPr>
        <w:endnoteReference w:id="1"/>
      </w:r>
    </w:p>
    <w:p w14:paraId="703D2D16" w14:textId="77777777" w:rsidR="003F592F" w:rsidRPr="004A46EF" w:rsidRDefault="003F592F" w:rsidP="003F592F">
      <w:pPr>
        <w:jc w:val="both"/>
      </w:pPr>
    </w:p>
    <w:p w14:paraId="75F7A6B1" w14:textId="70F057D9" w:rsidR="003F592F" w:rsidRPr="004A46EF" w:rsidRDefault="003F592F" w:rsidP="003F592F">
      <w:pPr>
        <w:jc w:val="both"/>
      </w:pPr>
      <w:r w:rsidRPr="004A46EF">
        <w:t xml:space="preserve">3. </w:t>
      </w:r>
      <w:r w:rsidR="007C109A" w:rsidRPr="004A46EF">
        <w:t xml:space="preserve">What should we do when a biblical text does not seem to deal fully with a doctrinal question? </w:t>
      </w:r>
      <w:r w:rsidRPr="004A46EF">
        <w:t xml:space="preserve">______________________________ </w:t>
      </w:r>
      <w:r w:rsidRPr="004A46EF">
        <w:rPr>
          <w:rStyle w:val="FootnoteReference"/>
        </w:rPr>
        <w:footnoteReference w:id="1"/>
      </w:r>
    </w:p>
    <w:p w14:paraId="38C2BE53" w14:textId="77777777" w:rsidR="003F592F" w:rsidRPr="004A46EF" w:rsidRDefault="003F592F" w:rsidP="003F592F">
      <w:pPr>
        <w:jc w:val="both"/>
      </w:pPr>
    </w:p>
    <w:p w14:paraId="220C50E5" w14:textId="4501C132" w:rsidR="003F592F" w:rsidRPr="004A46EF" w:rsidRDefault="003F592F" w:rsidP="003F592F">
      <w:pPr>
        <w:jc w:val="both"/>
      </w:pPr>
      <w:r w:rsidRPr="004A46EF">
        <w:t xml:space="preserve">4. </w:t>
      </w:r>
      <w:r w:rsidR="007C109A" w:rsidRPr="004A46EF">
        <w:t>The infallible rule for interpreting the Bible is</w:t>
      </w:r>
      <w:r w:rsidRPr="004A46EF">
        <w:t xml:space="preserve"> ______________ </w:t>
      </w:r>
      <w:r w:rsidRPr="004A46EF">
        <w:rPr>
          <w:rStyle w:val="FootnoteReference"/>
        </w:rPr>
        <w:footnoteReference w:id="2"/>
      </w:r>
    </w:p>
    <w:p w14:paraId="4D881365" w14:textId="77777777" w:rsidR="003F592F" w:rsidRPr="004A46EF" w:rsidRDefault="003F592F" w:rsidP="003F592F">
      <w:pPr>
        <w:jc w:val="both"/>
      </w:pPr>
    </w:p>
    <w:p w14:paraId="785CD7FD" w14:textId="5AF4C920" w:rsidR="003F592F" w:rsidRPr="004A46EF" w:rsidRDefault="003F592F" w:rsidP="003F592F">
      <w:pPr>
        <w:jc w:val="both"/>
      </w:pPr>
      <w:r w:rsidRPr="004A46EF">
        <w:t xml:space="preserve">5. </w:t>
      </w:r>
      <w:r w:rsidR="007C109A" w:rsidRPr="004A46EF">
        <w:t>What is the view of the Westminster Confession with regard to various interpretations of a text?</w:t>
      </w:r>
      <w:r w:rsidRPr="004A46EF">
        <w:t xml:space="preserve"> __________________________ </w:t>
      </w:r>
      <w:r w:rsidRPr="004A46EF">
        <w:rPr>
          <w:rStyle w:val="FootnoteReference"/>
        </w:rPr>
        <w:footnoteReference w:id="3"/>
      </w:r>
    </w:p>
    <w:p w14:paraId="1CD6FDFF" w14:textId="77777777" w:rsidR="003F592F" w:rsidRPr="004A46EF" w:rsidRDefault="003F592F" w:rsidP="003F592F">
      <w:pPr>
        <w:jc w:val="both"/>
      </w:pPr>
    </w:p>
    <w:p w14:paraId="2EEFAE08" w14:textId="11173F4D" w:rsidR="003F592F" w:rsidRPr="004A46EF" w:rsidRDefault="003F592F" w:rsidP="003F592F">
      <w:pPr>
        <w:pStyle w:val="Heading1"/>
      </w:pPr>
      <w:r w:rsidRPr="004A46EF">
        <w:br w:type="page"/>
      </w:r>
      <w:hyperlink w:anchor="top" w:history="1">
        <w:r w:rsidRPr="0088737F">
          <w:rPr>
            <w:rStyle w:val="Hyperlink"/>
          </w:rPr>
          <w:t>Lesson Two</w:t>
        </w:r>
      </w:hyperlink>
      <w:r w:rsidRPr="004A46EF">
        <w:t>: The Covenant of Grace</w:t>
      </w:r>
      <w:r w:rsidR="004F5B85">
        <w:t xml:space="preserve"> </w:t>
      </w:r>
      <w:bookmarkStart w:id="3" w:name="two"/>
      <w:bookmarkEnd w:id="3"/>
    </w:p>
    <w:p w14:paraId="3BF43A0E" w14:textId="77777777" w:rsidR="003F592F" w:rsidRPr="004A46EF" w:rsidRDefault="003F592F" w:rsidP="003F592F">
      <w:pPr>
        <w:jc w:val="both"/>
      </w:pPr>
      <w:r w:rsidRPr="004A46EF">
        <w:t>Gen.17&amp;Gal.3</w:t>
      </w:r>
    </w:p>
    <w:p w14:paraId="2363FA10" w14:textId="77777777" w:rsidR="003F592F" w:rsidRPr="004A46EF" w:rsidRDefault="003F592F" w:rsidP="003F592F">
      <w:pPr>
        <w:pStyle w:val="ListParagraph"/>
        <w:widowControl w:val="0"/>
        <w:numPr>
          <w:ilvl w:val="0"/>
          <w:numId w:val="9"/>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4A46EF">
        <w:t>Elements of a covenant</w:t>
      </w:r>
    </w:p>
    <w:p w14:paraId="0BBCFF9E" w14:textId="77777777" w:rsidR="003D68A0" w:rsidRDefault="003D68A0" w:rsidP="003E014B">
      <w:pPr>
        <w:pStyle w:val="ListNumber2"/>
        <w:numPr>
          <w:ilvl w:val="0"/>
          <w:numId w:val="0"/>
        </w:numPr>
        <w:ind w:left="720"/>
        <w:jc w:val="both"/>
        <w:rPr>
          <w:color w:val="FF0000"/>
        </w:rPr>
      </w:pPr>
    </w:p>
    <w:p w14:paraId="6CA70DB0" w14:textId="77777777" w:rsidR="003D68A0" w:rsidRDefault="003D68A0" w:rsidP="003E014B">
      <w:pPr>
        <w:pStyle w:val="ListNumber2"/>
        <w:numPr>
          <w:ilvl w:val="0"/>
          <w:numId w:val="0"/>
        </w:numPr>
        <w:ind w:left="720"/>
        <w:jc w:val="both"/>
        <w:rPr>
          <w:color w:val="FF0000"/>
        </w:rPr>
      </w:pPr>
    </w:p>
    <w:p w14:paraId="5FC5091B" w14:textId="77777777" w:rsidR="003D68A0" w:rsidRDefault="003D68A0" w:rsidP="003E014B">
      <w:pPr>
        <w:pStyle w:val="ListNumber2"/>
        <w:numPr>
          <w:ilvl w:val="0"/>
          <w:numId w:val="0"/>
        </w:numPr>
        <w:ind w:left="720"/>
        <w:jc w:val="both"/>
        <w:rPr>
          <w:color w:val="FF0000"/>
        </w:rPr>
      </w:pPr>
    </w:p>
    <w:p w14:paraId="24FB2781" w14:textId="77777777" w:rsidR="003D68A0" w:rsidRDefault="003D68A0" w:rsidP="003E014B">
      <w:pPr>
        <w:pStyle w:val="ListNumber2"/>
        <w:numPr>
          <w:ilvl w:val="0"/>
          <w:numId w:val="0"/>
        </w:numPr>
        <w:ind w:left="720"/>
        <w:jc w:val="both"/>
        <w:rPr>
          <w:color w:val="FF0000"/>
        </w:rPr>
      </w:pPr>
    </w:p>
    <w:p w14:paraId="52273968" w14:textId="77777777" w:rsidR="003D68A0" w:rsidRDefault="003D68A0" w:rsidP="003E014B">
      <w:pPr>
        <w:pStyle w:val="ListNumber2"/>
        <w:numPr>
          <w:ilvl w:val="0"/>
          <w:numId w:val="0"/>
        </w:numPr>
        <w:ind w:left="720"/>
        <w:jc w:val="both"/>
        <w:rPr>
          <w:color w:val="FF0000"/>
        </w:rPr>
      </w:pPr>
    </w:p>
    <w:p w14:paraId="45D237CD" w14:textId="77777777" w:rsidR="003D68A0" w:rsidRDefault="003D68A0" w:rsidP="003E014B">
      <w:pPr>
        <w:pStyle w:val="ListNumber2"/>
        <w:numPr>
          <w:ilvl w:val="0"/>
          <w:numId w:val="0"/>
        </w:numPr>
        <w:ind w:left="720"/>
        <w:jc w:val="both"/>
        <w:rPr>
          <w:color w:val="FF0000"/>
        </w:rPr>
      </w:pPr>
    </w:p>
    <w:p w14:paraId="2CB39854" w14:textId="77777777" w:rsidR="003D68A0" w:rsidRDefault="003D68A0" w:rsidP="003E014B">
      <w:pPr>
        <w:pStyle w:val="ListNumber2"/>
        <w:numPr>
          <w:ilvl w:val="0"/>
          <w:numId w:val="0"/>
        </w:numPr>
        <w:ind w:left="720"/>
        <w:jc w:val="both"/>
        <w:rPr>
          <w:color w:val="FF0000"/>
        </w:rPr>
      </w:pPr>
    </w:p>
    <w:p w14:paraId="512FDC47" w14:textId="4587F489" w:rsidR="007E3D97" w:rsidRPr="004A46EF" w:rsidRDefault="007E3D97" w:rsidP="003E014B">
      <w:pPr>
        <w:pStyle w:val="ListNumber2"/>
        <w:numPr>
          <w:ilvl w:val="0"/>
          <w:numId w:val="0"/>
        </w:numPr>
        <w:ind w:left="720"/>
        <w:jc w:val="both"/>
        <w:rPr>
          <w:color w:val="FF0000"/>
        </w:rPr>
      </w:pPr>
      <w:r w:rsidRPr="004A46EF">
        <w:rPr>
          <w:color w:val="FF0000"/>
        </w:rPr>
        <w:t xml:space="preserve"> </w:t>
      </w:r>
    </w:p>
    <w:p w14:paraId="4D7CFC85" w14:textId="77777777" w:rsidR="003F592F" w:rsidRPr="004A46EF" w:rsidRDefault="003F592F" w:rsidP="003E014B">
      <w:pPr>
        <w:jc w:val="both"/>
      </w:pPr>
    </w:p>
    <w:p w14:paraId="4EF069CF" w14:textId="77777777" w:rsidR="003F592F" w:rsidRPr="004A46EF" w:rsidRDefault="003F592F" w:rsidP="003F592F">
      <w:pPr>
        <w:pStyle w:val="ListParagraph"/>
        <w:widowControl w:val="0"/>
        <w:numPr>
          <w:ilvl w:val="0"/>
          <w:numId w:val="9"/>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rPr>
          <w:i/>
        </w:rPr>
      </w:pPr>
      <w:r w:rsidRPr="004A46EF">
        <w:t xml:space="preserve">The meaning of </w:t>
      </w:r>
      <w:r w:rsidRPr="004A46EF">
        <w:rPr>
          <w:i/>
        </w:rPr>
        <w:t>Sacraments</w:t>
      </w:r>
    </w:p>
    <w:p w14:paraId="78180ED3" w14:textId="77777777" w:rsidR="003F592F" w:rsidRDefault="003F592F" w:rsidP="003F592F">
      <w:pPr>
        <w:jc w:val="both"/>
      </w:pPr>
    </w:p>
    <w:p w14:paraId="0C2CBF88" w14:textId="77777777" w:rsidR="003D68A0" w:rsidRDefault="003D68A0" w:rsidP="003F592F">
      <w:pPr>
        <w:jc w:val="both"/>
      </w:pPr>
    </w:p>
    <w:p w14:paraId="2BBC7530" w14:textId="77777777" w:rsidR="003D68A0" w:rsidRPr="004A46EF" w:rsidRDefault="003D68A0" w:rsidP="003F592F">
      <w:pPr>
        <w:jc w:val="both"/>
      </w:pPr>
    </w:p>
    <w:p w14:paraId="4DFDB2AE" w14:textId="77777777" w:rsidR="003F592F" w:rsidRPr="004A46EF" w:rsidRDefault="003F592F" w:rsidP="003F592F">
      <w:pPr>
        <w:jc w:val="both"/>
      </w:pPr>
    </w:p>
    <w:p w14:paraId="18BCAB22" w14:textId="796DDDDE" w:rsidR="003F592F" w:rsidRPr="004A46EF" w:rsidRDefault="00E2289B" w:rsidP="003F592F">
      <w:pPr>
        <w:pStyle w:val="Heading1"/>
      </w:pPr>
      <w:hyperlink w:anchor="top" w:history="1">
        <w:r w:rsidR="003F592F" w:rsidRPr="0088737F">
          <w:rPr>
            <w:rStyle w:val="Hyperlink"/>
          </w:rPr>
          <w:t>Lesson Three</w:t>
        </w:r>
      </w:hyperlink>
      <w:r w:rsidR="003F592F" w:rsidRPr="004A46EF">
        <w:t xml:space="preserve">: Baptism, meaning and mode </w:t>
      </w:r>
      <w:bookmarkStart w:id="4" w:name="three"/>
      <w:bookmarkEnd w:id="4"/>
    </w:p>
    <w:p w14:paraId="18FDFCBD" w14:textId="77777777" w:rsidR="003F592F" w:rsidRPr="004A46EF" w:rsidRDefault="003F592F" w:rsidP="003F592F">
      <w:pPr>
        <w:jc w:val="both"/>
      </w:pPr>
    </w:p>
    <w:p w14:paraId="62D599C7" w14:textId="77777777" w:rsidR="003F592F" w:rsidRPr="004A46EF" w:rsidRDefault="003F592F" w:rsidP="003F592F">
      <w:pPr>
        <w:jc w:val="both"/>
      </w:pPr>
      <w:r w:rsidRPr="004A46EF">
        <w:t>For teaching this section, you need only follow certain portions in Smalling's thesis on baptism.</w:t>
      </w:r>
    </w:p>
    <w:p w14:paraId="37794D32" w14:textId="77777777" w:rsidR="003F592F" w:rsidRPr="004A46EF" w:rsidRDefault="003F592F" w:rsidP="003F592F">
      <w:pPr>
        <w:jc w:val="both"/>
      </w:pPr>
    </w:p>
    <w:p w14:paraId="43935234" w14:textId="77777777" w:rsidR="003F592F" w:rsidRPr="004A46EF" w:rsidRDefault="003F592F" w:rsidP="003F592F">
      <w:pPr>
        <w:pStyle w:val="Heading3"/>
      </w:pPr>
      <w:r w:rsidRPr="004A46EF">
        <w:t>The meaning</w:t>
      </w:r>
    </w:p>
    <w:p w14:paraId="05C562F8" w14:textId="77777777" w:rsidR="003F592F" w:rsidRPr="004A46EF" w:rsidRDefault="003F592F" w:rsidP="003F592F">
      <w:pPr>
        <w:jc w:val="both"/>
      </w:pPr>
      <w:r w:rsidRPr="004A46EF">
        <w:t xml:space="preserve">Three factors must be established in the mind of the students before they can fully grasp the full picture of the meaning and mode of baptism: </w:t>
      </w:r>
    </w:p>
    <w:p w14:paraId="007281EA" w14:textId="77777777" w:rsidR="003F592F" w:rsidRPr="004A46EF" w:rsidRDefault="003F592F" w:rsidP="003F592F">
      <w:pPr>
        <w:jc w:val="both"/>
      </w:pPr>
    </w:p>
    <w:p w14:paraId="43EE9BDD" w14:textId="77777777" w:rsidR="003F592F" w:rsidRPr="004A46EF" w:rsidRDefault="003F592F" w:rsidP="003F592F">
      <w:pPr>
        <w:pStyle w:val="ListParagraph"/>
        <w:widowControl w:val="0"/>
        <w:numPr>
          <w:ilvl w:val="0"/>
          <w:numId w:val="1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4A46EF">
        <w:t>The continuity of the covenant of Abraham as the Christian covenant.</w:t>
      </w:r>
    </w:p>
    <w:p w14:paraId="33DE4D6C" w14:textId="77777777" w:rsidR="003F592F" w:rsidRPr="004A46EF" w:rsidRDefault="003F592F" w:rsidP="003F592F">
      <w:pPr>
        <w:pStyle w:val="ListNumber2"/>
        <w:numPr>
          <w:ilvl w:val="0"/>
          <w:numId w:val="0"/>
        </w:numPr>
        <w:ind w:left="720"/>
      </w:pPr>
      <w:r w:rsidRPr="004A46EF">
        <w:t xml:space="preserve">Compare Gen.17 with Gal.3. Show that the Christian’s covenant is the Abrahamic covenant fulfilled. </w:t>
      </w:r>
    </w:p>
    <w:p w14:paraId="724CE8E5" w14:textId="77777777" w:rsidR="003F592F" w:rsidRPr="004A46EF" w:rsidRDefault="003F592F" w:rsidP="003F592F">
      <w:pPr>
        <w:pStyle w:val="ListParagraph"/>
        <w:widowControl w:val="0"/>
        <w:numPr>
          <w:ilvl w:val="0"/>
          <w:numId w:val="1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4A46EF">
        <w:t>Circumcision as the sign and seal of that covenant. A good text for this is Rom.4:11</w:t>
      </w:r>
    </w:p>
    <w:p w14:paraId="0B8F9008" w14:textId="607A5674" w:rsidR="003F592F" w:rsidRPr="004A46EF" w:rsidRDefault="003F592F" w:rsidP="003F592F">
      <w:pPr>
        <w:pStyle w:val="ListParagraph"/>
        <w:widowControl w:val="0"/>
        <w:numPr>
          <w:ilvl w:val="0"/>
          <w:numId w:val="1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4A46EF">
        <w:t>The replacement of circumcision by baptism. Use Co</w:t>
      </w:r>
      <w:r w:rsidR="00ED477A" w:rsidRPr="004A46EF">
        <w:t xml:space="preserve">l. </w:t>
      </w:r>
      <w:r w:rsidRPr="004A46EF">
        <w:t xml:space="preserve">2:11-12 for this. </w:t>
      </w:r>
    </w:p>
    <w:p w14:paraId="1D9539AE" w14:textId="77777777" w:rsidR="003F592F" w:rsidRPr="004A46EF" w:rsidRDefault="003F592F" w:rsidP="003F592F">
      <w:pPr>
        <w:jc w:val="both"/>
      </w:pPr>
    </w:p>
    <w:p w14:paraId="00D29996" w14:textId="77777777" w:rsidR="003F592F" w:rsidRPr="004A46EF" w:rsidRDefault="003F592F" w:rsidP="003F592F">
      <w:pPr>
        <w:pStyle w:val="Heading3"/>
      </w:pPr>
      <w:r w:rsidRPr="004A46EF">
        <w:t>The mode</w:t>
      </w:r>
    </w:p>
    <w:p w14:paraId="2A5ACD03" w14:textId="77777777" w:rsidR="003F592F" w:rsidRPr="004A46EF" w:rsidRDefault="003F592F" w:rsidP="003F592F">
      <w:pPr>
        <w:jc w:val="both"/>
      </w:pPr>
      <w:r w:rsidRPr="004A46EF">
        <w:t xml:space="preserve">A very effective way to establish sprinkling or pouring as the biblical mode of baptism is the following group exercise. Let the students come to their own conclusions. </w:t>
      </w:r>
    </w:p>
    <w:p w14:paraId="7877A46F" w14:textId="77777777" w:rsidR="003F592F" w:rsidRPr="004A46EF" w:rsidRDefault="003F592F" w:rsidP="003F592F">
      <w:pPr>
        <w:jc w:val="both"/>
      </w:pPr>
    </w:p>
    <w:p w14:paraId="20EC3272" w14:textId="51F04E93" w:rsidR="003F592F" w:rsidRPr="004A46EF" w:rsidRDefault="003F592F" w:rsidP="003F592F">
      <w:pPr>
        <w:spacing w:line="240" w:lineRule="auto"/>
        <w:jc w:val="both"/>
      </w:pPr>
      <w:r w:rsidRPr="004A46EF">
        <w:t>1. ¿</w:t>
      </w:r>
      <w:r w:rsidR="00382D6C" w:rsidRPr="004A46EF">
        <w:t xml:space="preserve">What does </w:t>
      </w:r>
      <w:r w:rsidR="00DC67AD" w:rsidRPr="004A46EF">
        <w:t>water</w:t>
      </w:r>
      <w:r w:rsidR="00382D6C" w:rsidRPr="004A46EF">
        <w:t xml:space="preserve"> symbolize in the Bible?</w:t>
      </w:r>
    </w:p>
    <w:p w14:paraId="205801E1" w14:textId="0B105C5C" w:rsidR="003F592F" w:rsidRPr="004A46EF" w:rsidRDefault="003F592F" w:rsidP="003F592F">
      <w:pPr>
        <w:spacing w:line="240" w:lineRule="auto"/>
        <w:ind w:left="360"/>
        <w:jc w:val="both"/>
      </w:pPr>
      <w:r w:rsidRPr="004A46EF">
        <w:t xml:space="preserve"> Mt.3:11; Jn.1:13; 7:38-39; </w:t>
      </w:r>
      <w:r w:rsidR="00382D6C" w:rsidRPr="004A46EF">
        <w:t xml:space="preserve">Acts </w:t>
      </w:r>
      <w:r w:rsidRPr="004A46EF">
        <w:t>1:5; 11:15-16 _________________</w:t>
      </w:r>
      <w:r w:rsidR="00BB24E1" w:rsidRPr="004A46EF">
        <w:t xml:space="preserve"> </w:t>
      </w:r>
      <w:r w:rsidR="00BB24E1" w:rsidRPr="004A46EF">
        <w:rPr>
          <w:rStyle w:val="EndnoteReference"/>
        </w:rPr>
        <w:endnoteReference w:id="2"/>
      </w:r>
    </w:p>
    <w:p w14:paraId="6B4CCCA2" w14:textId="77777777" w:rsidR="003F592F" w:rsidRPr="004A46EF" w:rsidRDefault="003F592F" w:rsidP="003F592F">
      <w:pPr>
        <w:spacing w:line="240" w:lineRule="auto"/>
        <w:ind w:left="360"/>
        <w:jc w:val="both"/>
      </w:pPr>
    </w:p>
    <w:p w14:paraId="7C535005" w14:textId="77777777" w:rsidR="003F592F" w:rsidRPr="004A46EF" w:rsidRDefault="003F592F" w:rsidP="003F592F">
      <w:pPr>
        <w:spacing w:line="240" w:lineRule="auto"/>
        <w:ind w:left="360"/>
        <w:jc w:val="both"/>
      </w:pPr>
      <w:r w:rsidRPr="004A46EF">
        <w:lastRenderedPageBreak/>
        <w:t xml:space="preserve"> Ez.36:25; Mt.27:24; Jn.13:5; Ef.5:26; Heb.10:22 _______________</w:t>
      </w:r>
      <w:r w:rsidRPr="004A46EF">
        <w:br/>
      </w:r>
    </w:p>
    <w:p w14:paraId="2331C2AF" w14:textId="61071129" w:rsidR="003F592F" w:rsidRPr="004A46EF" w:rsidRDefault="003F592F" w:rsidP="003F592F">
      <w:pPr>
        <w:spacing w:line="240" w:lineRule="auto"/>
        <w:jc w:val="both"/>
        <w:rPr>
          <w:b/>
        </w:rPr>
      </w:pPr>
      <w:r w:rsidRPr="004A46EF">
        <w:t xml:space="preserve">2. </w:t>
      </w:r>
      <w:r w:rsidR="00382D6C" w:rsidRPr="004A46EF">
        <w:t xml:space="preserve">By what mode does God apply the person or thing that the water symbolizes? </w:t>
      </w:r>
    </w:p>
    <w:p w14:paraId="47067895" w14:textId="429856D8" w:rsidR="003F592F" w:rsidRPr="004A46EF" w:rsidRDefault="003F592F" w:rsidP="003F592F">
      <w:pPr>
        <w:spacing w:line="240" w:lineRule="auto"/>
        <w:ind w:firstLine="360"/>
        <w:jc w:val="both"/>
      </w:pPr>
      <w:r w:rsidRPr="004A46EF">
        <w:t xml:space="preserve">Ez. 36:25-28; Tit.3:5-7; </w:t>
      </w:r>
      <w:r w:rsidR="00382D6C" w:rsidRPr="004A46EF">
        <w:t>Acts</w:t>
      </w:r>
      <w:r w:rsidR="00316BC9" w:rsidRPr="004A46EF">
        <w:t xml:space="preserve"> </w:t>
      </w:r>
      <w:r w:rsidRPr="004A46EF">
        <w:t xml:space="preserve">1:5,8; </w:t>
      </w:r>
      <w:r w:rsidR="00382D6C" w:rsidRPr="004A46EF">
        <w:t xml:space="preserve">Acts </w:t>
      </w:r>
      <w:r w:rsidRPr="004A46EF">
        <w:t xml:space="preserve">10:44,47; </w:t>
      </w:r>
      <w:r w:rsidR="00382D6C" w:rsidRPr="004A46EF">
        <w:t xml:space="preserve">Acts </w:t>
      </w:r>
      <w:r w:rsidRPr="004A46EF">
        <w:t xml:space="preserve">11:15-16  </w:t>
      </w:r>
    </w:p>
    <w:p w14:paraId="5E4CD121" w14:textId="3FC6A2CA" w:rsidR="003F592F" w:rsidRPr="004A46EF" w:rsidRDefault="003F592F" w:rsidP="003F592F">
      <w:pPr>
        <w:spacing w:line="240" w:lineRule="auto"/>
        <w:ind w:firstLine="360"/>
        <w:jc w:val="both"/>
      </w:pPr>
      <w:r w:rsidRPr="004A46EF">
        <w:t xml:space="preserve">______________________________________ </w:t>
      </w:r>
      <w:r w:rsidR="00BB24E1" w:rsidRPr="004A46EF">
        <w:rPr>
          <w:rStyle w:val="EndnoteReference"/>
        </w:rPr>
        <w:endnoteReference w:id="3"/>
      </w:r>
    </w:p>
    <w:p w14:paraId="43FFD97F" w14:textId="77777777" w:rsidR="003F592F" w:rsidRPr="004A46EF" w:rsidRDefault="003F592F" w:rsidP="003F592F">
      <w:pPr>
        <w:jc w:val="both"/>
      </w:pPr>
    </w:p>
    <w:p w14:paraId="0E2DB379" w14:textId="77777777" w:rsidR="003F592F" w:rsidRPr="004A46EF" w:rsidRDefault="003F592F" w:rsidP="003F592F">
      <w:pPr>
        <w:jc w:val="both"/>
      </w:pPr>
    </w:p>
    <w:p w14:paraId="0A4AEC79" w14:textId="77777777" w:rsidR="003F592F" w:rsidRPr="004A46EF" w:rsidRDefault="003F592F" w:rsidP="003F592F">
      <w:pPr>
        <w:pStyle w:val="Heading3"/>
      </w:pPr>
      <w:r w:rsidRPr="004A46EF">
        <w:t xml:space="preserve">Catholic Baptism </w:t>
      </w:r>
    </w:p>
    <w:p w14:paraId="6061EA7D" w14:textId="77777777" w:rsidR="000E5812" w:rsidRDefault="000E5812" w:rsidP="003F592F">
      <w:pPr>
        <w:pStyle w:val="Heading1"/>
      </w:pPr>
    </w:p>
    <w:p w14:paraId="276DA7F6" w14:textId="77777777" w:rsidR="000E5812" w:rsidRDefault="000E5812" w:rsidP="003F592F">
      <w:pPr>
        <w:pStyle w:val="Heading1"/>
      </w:pPr>
    </w:p>
    <w:p w14:paraId="34D14715" w14:textId="77777777" w:rsidR="000E5812" w:rsidRDefault="000E5812" w:rsidP="003F592F">
      <w:pPr>
        <w:pStyle w:val="Heading1"/>
      </w:pPr>
    </w:p>
    <w:p w14:paraId="3A928B5A" w14:textId="1CCCD345" w:rsidR="003F592F" w:rsidRPr="004A46EF" w:rsidRDefault="00E2289B" w:rsidP="003F592F">
      <w:pPr>
        <w:pStyle w:val="Heading1"/>
      </w:pPr>
      <w:hyperlink w:anchor="top" w:history="1">
        <w:r w:rsidR="003F592F" w:rsidRPr="0088737F">
          <w:rPr>
            <w:rStyle w:val="Hyperlink"/>
          </w:rPr>
          <w:t>Lesson Four</w:t>
        </w:r>
      </w:hyperlink>
      <w:r w:rsidR="003F592F" w:rsidRPr="004A46EF">
        <w:t xml:space="preserve">: </w:t>
      </w:r>
      <w:r w:rsidR="0034331C" w:rsidRPr="004A46EF">
        <w:t>The Lord’s Supper</w:t>
      </w:r>
      <w:r w:rsidR="0088737F">
        <w:t xml:space="preserve"> </w:t>
      </w:r>
      <w:bookmarkStart w:id="5" w:name="four"/>
      <w:bookmarkEnd w:id="5"/>
    </w:p>
    <w:p w14:paraId="22F8D8D5" w14:textId="77777777" w:rsidR="003F592F" w:rsidRPr="004A46EF" w:rsidRDefault="003F592F" w:rsidP="003F592F">
      <w:pPr>
        <w:spacing w:line="240" w:lineRule="auto"/>
        <w:jc w:val="both"/>
        <w:outlineLvl w:val="0"/>
      </w:pPr>
      <w:r w:rsidRPr="004A46EF">
        <w:t>Two questions to answer in the Lord’s Supper</w:t>
      </w:r>
    </w:p>
    <w:p w14:paraId="3FA334C0" w14:textId="77777777" w:rsidR="003F592F" w:rsidRPr="004A46EF" w:rsidRDefault="003F592F" w:rsidP="003F592F">
      <w:pPr>
        <w:pStyle w:val="ListParagraph"/>
        <w:widowControl w:val="0"/>
        <w:numPr>
          <w:ilvl w:val="0"/>
          <w:numId w:val="7"/>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outlineLvl w:val="0"/>
        <w:rPr>
          <w:i/>
        </w:rPr>
      </w:pPr>
      <w:r w:rsidRPr="004A46EF">
        <w:t>Where is Christ in it?  The doctrine of the</w:t>
      </w:r>
      <w:r w:rsidRPr="004A46EF">
        <w:rPr>
          <w:i/>
        </w:rPr>
        <w:t xml:space="preserve"> Real Presence.</w:t>
      </w:r>
    </w:p>
    <w:p w14:paraId="732B8DA0" w14:textId="5F245C9D" w:rsidR="003F592F" w:rsidRPr="004A46EF" w:rsidRDefault="003F592F" w:rsidP="003F592F">
      <w:pPr>
        <w:pStyle w:val="ListParagraph"/>
        <w:widowControl w:val="0"/>
        <w:numPr>
          <w:ilvl w:val="0"/>
          <w:numId w:val="7"/>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outlineLvl w:val="0"/>
      </w:pPr>
      <w:r w:rsidRPr="004A46EF">
        <w:t xml:space="preserve">How is grace </w:t>
      </w:r>
      <w:r w:rsidR="00DC67AD" w:rsidRPr="004A46EF">
        <w:t>communicated</w:t>
      </w:r>
      <w:r w:rsidRPr="004A46EF">
        <w:t xml:space="preserve"> through it, if at all?</w:t>
      </w:r>
    </w:p>
    <w:p w14:paraId="68E53832" w14:textId="77777777" w:rsidR="003F592F" w:rsidRPr="004A46EF" w:rsidRDefault="003F592F" w:rsidP="003F592F">
      <w:pPr>
        <w:spacing w:line="240" w:lineRule="auto"/>
        <w:jc w:val="both"/>
        <w:outlineLvl w:val="0"/>
      </w:pPr>
    </w:p>
    <w:p w14:paraId="3CA9C6C8" w14:textId="3ACBC105" w:rsidR="003F592F" w:rsidRPr="004A46EF" w:rsidRDefault="0034331C" w:rsidP="003F592F">
      <w:pPr>
        <w:pStyle w:val="Heading2"/>
        <w:rPr>
          <w:lang w:val="en-US"/>
        </w:rPr>
      </w:pPr>
      <w:r w:rsidRPr="004A46EF">
        <w:rPr>
          <w:lang w:val="en-US"/>
        </w:rPr>
        <w:t>Four viewpoints</w:t>
      </w:r>
    </w:p>
    <w:p w14:paraId="583BC0B8" w14:textId="77777777" w:rsidR="003F592F" w:rsidRPr="004A46EF" w:rsidRDefault="003F592F" w:rsidP="003F592F">
      <w:pPr>
        <w:spacing w:line="240" w:lineRule="auto"/>
        <w:jc w:val="both"/>
      </w:pPr>
    </w:p>
    <w:p w14:paraId="075D396D" w14:textId="08755187" w:rsidR="003F592F" w:rsidRPr="004A46EF" w:rsidRDefault="0034331C" w:rsidP="003F592F">
      <w:pPr>
        <w:spacing w:line="240" w:lineRule="auto"/>
        <w:jc w:val="both"/>
        <w:outlineLvl w:val="0"/>
        <w:rPr>
          <w:u w:val="single"/>
        </w:rPr>
      </w:pPr>
      <w:r w:rsidRPr="004A46EF">
        <w:rPr>
          <w:u w:val="single"/>
        </w:rPr>
        <w:t>CATHOLIC</w:t>
      </w:r>
    </w:p>
    <w:p w14:paraId="49E4B2D5" w14:textId="0D821A86" w:rsidR="0034331C" w:rsidRPr="004A46EF" w:rsidRDefault="0034331C" w:rsidP="003F592F">
      <w:pPr>
        <w:spacing w:line="240" w:lineRule="auto"/>
        <w:jc w:val="both"/>
      </w:pPr>
      <w:r w:rsidRPr="004A46EF">
        <w:t xml:space="preserve">The grace operating in the Lord’s Supper is saving grace. The rite operates by its own power. </w:t>
      </w:r>
      <w:r w:rsidR="003C302C" w:rsidRPr="004A46EF">
        <w:t>Christ is</w:t>
      </w:r>
      <w:r w:rsidRPr="004A46EF">
        <w:t xml:space="preserve"> present </w:t>
      </w:r>
      <w:r w:rsidR="00DC67AD" w:rsidRPr="004A46EF">
        <w:t>because</w:t>
      </w:r>
      <w:r w:rsidRPr="004A46EF">
        <w:t xml:space="preserve"> the elements are changed into the very flesh and blood of Christ. </w:t>
      </w:r>
      <w:r w:rsidR="003C302C" w:rsidRPr="004A46EF">
        <w:t xml:space="preserve">This doctrine is called Transubstantiation. It means the elements are transformed into the substance of Christ. </w:t>
      </w:r>
    </w:p>
    <w:p w14:paraId="6CA64CF1" w14:textId="77777777" w:rsidR="000E5812" w:rsidRPr="004A46EF" w:rsidRDefault="000E5812" w:rsidP="003F592F">
      <w:pPr>
        <w:spacing w:line="240" w:lineRule="auto"/>
        <w:jc w:val="both"/>
      </w:pPr>
    </w:p>
    <w:p w14:paraId="7ED2157C" w14:textId="74B6461A" w:rsidR="003F592F" w:rsidRPr="004A46EF" w:rsidRDefault="003C302C" w:rsidP="003F592F">
      <w:pPr>
        <w:spacing w:line="240" w:lineRule="auto"/>
        <w:jc w:val="both"/>
        <w:outlineLvl w:val="0"/>
      </w:pPr>
      <w:r w:rsidRPr="004A46EF">
        <w:rPr>
          <w:u w:val="single"/>
        </w:rPr>
        <w:t xml:space="preserve">ZWINGLIAN VIEW (Held by </w:t>
      </w:r>
      <w:r w:rsidR="00DC67AD" w:rsidRPr="004A46EF">
        <w:rPr>
          <w:u w:val="single"/>
        </w:rPr>
        <w:t>Baptists</w:t>
      </w:r>
      <w:r w:rsidRPr="004A46EF">
        <w:rPr>
          <w:u w:val="single"/>
        </w:rPr>
        <w:t xml:space="preserve"> and many other evangelicals) </w:t>
      </w:r>
      <w:r w:rsidRPr="004A46EF">
        <w:rPr>
          <w:rStyle w:val="EndnoteReference"/>
          <w:u w:val="single"/>
        </w:rPr>
        <w:endnoteReference w:id="4"/>
      </w:r>
    </w:p>
    <w:p w14:paraId="7D49452F" w14:textId="539D0839" w:rsidR="003F592F" w:rsidRPr="004A46EF" w:rsidRDefault="0041133A" w:rsidP="003F592F">
      <w:pPr>
        <w:spacing w:line="240" w:lineRule="auto"/>
        <w:jc w:val="both"/>
        <w:outlineLvl w:val="0"/>
      </w:pPr>
      <w:r w:rsidRPr="004A46EF">
        <w:t xml:space="preserve">No grace is operating at all. It is a symbolic and instructive rite </w:t>
      </w:r>
      <w:r w:rsidR="00DC67AD" w:rsidRPr="004A46EF">
        <w:t>oily</w:t>
      </w:r>
      <w:r w:rsidRPr="004A46EF">
        <w:t xml:space="preserve">. It is just an ordinance and memorial. Christ is not present in any sense whatsoever. </w:t>
      </w:r>
    </w:p>
    <w:p w14:paraId="7ED47CBA" w14:textId="77777777" w:rsidR="0041133A" w:rsidRPr="004A46EF" w:rsidRDefault="0041133A" w:rsidP="003F592F">
      <w:pPr>
        <w:spacing w:line="240" w:lineRule="auto"/>
        <w:jc w:val="both"/>
        <w:outlineLvl w:val="0"/>
        <w:rPr>
          <w:u w:val="single"/>
        </w:rPr>
      </w:pPr>
    </w:p>
    <w:p w14:paraId="7EF00F76" w14:textId="1844E1CC" w:rsidR="003F592F" w:rsidRPr="004A46EF" w:rsidRDefault="0041133A" w:rsidP="003F592F">
      <w:pPr>
        <w:spacing w:line="240" w:lineRule="auto"/>
        <w:jc w:val="both"/>
        <w:outlineLvl w:val="0"/>
        <w:rPr>
          <w:u w:val="single"/>
        </w:rPr>
      </w:pPr>
      <w:r w:rsidRPr="004A46EF">
        <w:rPr>
          <w:u w:val="single"/>
        </w:rPr>
        <w:t>LUTHERAN</w:t>
      </w:r>
    </w:p>
    <w:p w14:paraId="5A8E1794" w14:textId="33213D6A" w:rsidR="003F592F" w:rsidRPr="004A46EF" w:rsidRDefault="0041133A" w:rsidP="003F592F">
      <w:pPr>
        <w:spacing w:line="240" w:lineRule="auto"/>
        <w:jc w:val="both"/>
        <w:rPr>
          <w:u w:val="single"/>
        </w:rPr>
      </w:pPr>
      <w:r w:rsidRPr="004A46EF">
        <w:t xml:space="preserve">Grace is in Christ, who is in, around and through the elements. </w:t>
      </w:r>
      <w:r w:rsidR="00937F52" w:rsidRPr="004A46EF">
        <w:t xml:space="preserve">Grace is automatically operative in believers who do not resist it. </w:t>
      </w:r>
    </w:p>
    <w:p w14:paraId="182B7065" w14:textId="77777777" w:rsidR="003F592F" w:rsidRPr="004A46EF" w:rsidRDefault="003F592F" w:rsidP="003F592F">
      <w:pPr>
        <w:spacing w:line="240" w:lineRule="auto"/>
        <w:jc w:val="both"/>
      </w:pPr>
    </w:p>
    <w:p w14:paraId="55838E2F" w14:textId="6BB3CC12" w:rsidR="003F592F" w:rsidRPr="004A46EF" w:rsidRDefault="00937F52" w:rsidP="003F592F">
      <w:pPr>
        <w:spacing w:line="240" w:lineRule="auto"/>
        <w:jc w:val="both"/>
        <w:outlineLvl w:val="0"/>
        <w:rPr>
          <w:u w:val="single"/>
        </w:rPr>
      </w:pPr>
      <w:r w:rsidRPr="004A46EF">
        <w:rPr>
          <w:u w:val="single"/>
        </w:rPr>
        <w:t xml:space="preserve">PRESBITERIAN AND REFORMED </w:t>
      </w:r>
    </w:p>
    <w:p w14:paraId="32F28375" w14:textId="18757AC0" w:rsidR="003F592F" w:rsidRPr="004A46EF" w:rsidRDefault="009A15CF" w:rsidP="003F592F">
      <w:pPr>
        <w:spacing w:line="240" w:lineRule="auto"/>
        <w:jc w:val="both"/>
      </w:pPr>
      <w:r w:rsidRPr="004A46EF">
        <w:t xml:space="preserve">An encouraging and preserving grace is operative but not a saving grace in the sense of provoking regeneration. It operates through the faith of the believer by the Holy Spirit. No power or grace is found in the elements themselves. Christ is present in the believer, not in the elements presented. It is three things: An ordinance, a memorial and communion. By </w:t>
      </w:r>
      <w:r w:rsidRPr="004A46EF">
        <w:rPr>
          <w:i/>
        </w:rPr>
        <w:t>communion</w:t>
      </w:r>
      <w:r w:rsidRPr="004A46EF">
        <w:t xml:space="preserve"> it is meant that there is a real spiritual connection with the spirit of Christ through act of believing participation. </w:t>
      </w:r>
    </w:p>
    <w:p w14:paraId="1CA9E5F0" w14:textId="77777777" w:rsidR="003F592F" w:rsidRPr="004A46EF" w:rsidRDefault="003F592F" w:rsidP="003F592F">
      <w:pPr>
        <w:spacing w:line="240" w:lineRule="auto"/>
        <w:jc w:val="both"/>
      </w:pPr>
    </w:p>
    <w:p w14:paraId="3CE6F823" w14:textId="77777777" w:rsidR="003F592F" w:rsidRPr="004A46EF" w:rsidRDefault="003F592F" w:rsidP="003F592F">
      <w:pPr>
        <w:pStyle w:val="Heading2"/>
        <w:rPr>
          <w:lang w:val="en-US"/>
        </w:rPr>
      </w:pPr>
      <w:r w:rsidRPr="004A46EF">
        <w:rPr>
          <w:lang w:val="en-US"/>
        </w:rPr>
        <w:t xml:space="preserve">Evidence for the reformed view </w:t>
      </w:r>
    </w:p>
    <w:p w14:paraId="03CA294A" w14:textId="77777777" w:rsidR="003F592F" w:rsidRPr="004A46EF" w:rsidRDefault="003F592F" w:rsidP="003F592F">
      <w:pPr>
        <w:spacing w:line="240" w:lineRule="auto"/>
        <w:jc w:val="both"/>
      </w:pPr>
      <w:r w:rsidRPr="004A46EF">
        <w:tab/>
      </w:r>
    </w:p>
    <w:p w14:paraId="7D9EB5CD" w14:textId="77777777" w:rsidR="003F592F" w:rsidRPr="004A46EF" w:rsidRDefault="003F592F" w:rsidP="003F592F">
      <w:pPr>
        <w:pStyle w:val="Heading3"/>
      </w:pPr>
      <w:r w:rsidRPr="004A46EF">
        <w:t>The table of demons parallel: 1Cor.10:16-22</w:t>
      </w:r>
    </w:p>
    <w:p w14:paraId="5283457B" w14:textId="77777777" w:rsidR="003F592F" w:rsidRDefault="003F592F" w:rsidP="003F592F">
      <w:pPr>
        <w:jc w:val="both"/>
        <w:rPr>
          <w:color w:val="FF0000"/>
        </w:rPr>
      </w:pPr>
    </w:p>
    <w:p w14:paraId="42E29C75" w14:textId="77777777" w:rsidR="000E5812" w:rsidRDefault="000E5812" w:rsidP="003F592F">
      <w:pPr>
        <w:jc w:val="both"/>
        <w:rPr>
          <w:color w:val="FF0000"/>
        </w:rPr>
      </w:pPr>
    </w:p>
    <w:p w14:paraId="0A99055B" w14:textId="77777777" w:rsidR="000E5812" w:rsidRDefault="000E5812" w:rsidP="003F592F">
      <w:pPr>
        <w:jc w:val="both"/>
        <w:rPr>
          <w:color w:val="FF0000"/>
        </w:rPr>
      </w:pPr>
    </w:p>
    <w:p w14:paraId="2B6F2729" w14:textId="77777777" w:rsidR="000E5812" w:rsidRDefault="000E5812" w:rsidP="003F592F">
      <w:pPr>
        <w:jc w:val="both"/>
        <w:rPr>
          <w:color w:val="FF0000"/>
        </w:rPr>
      </w:pPr>
    </w:p>
    <w:p w14:paraId="623E2516" w14:textId="77777777" w:rsidR="000E5812" w:rsidRPr="004A46EF" w:rsidRDefault="000E5812" w:rsidP="003F592F">
      <w:pPr>
        <w:jc w:val="both"/>
      </w:pPr>
    </w:p>
    <w:p w14:paraId="110D721A" w14:textId="77777777" w:rsidR="003F592F" w:rsidRPr="004A46EF" w:rsidRDefault="003F592F" w:rsidP="003F592F">
      <w:pPr>
        <w:pStyle w:val="Heading3"/>
        <w:rPr>
          <w:i/>
        </w:rPr>
      </w:pPr>
      <w:r w:rsidRPr="004A46EF">
        <w:t xml:space="preserve">The use of the term </w:t>
      </w:r>
      <w:r w:rsidRPr="004A46EF">
        <w:rPr>
          <w:i/>
        </w:rPr>
        <w:t>communion</w:t>
      </w:r>
    </w:p>
    <w:p w14:paraId="47997139" w14:textId="77777777" w:rsidR="003F592F" w:rsidRDefault="003F592F" w:rsidP="003F592F">
      <w:pPr>
        <w:jc w:val="both"/>
        <w:rPr>
          <w:color w:val="FF0000"/>
        </w:rPr>
      </w:pPr>
    </w:p>
    <w:p w14:paraId="0521AAFE" w14:textId="77777777" w:rsidR="000E5812" w:rsidRDefault="000E5812" w:rsidP="003F592F">
      <w:pPr>
        <w:jc w:val="both"/>
        <w:rPr>
          <w:color w:val="FF0000"/>
        </w:rPr>
      </w:pPr>
    </w:p>
    <w:p w14:paraId="77A97842" w14:textId="77777777" w:rsidR="000E5812" w:rsidRDefault="000E5812" w:rsidP="003F592F">
      <w:pPr>
        <w:jc w:val="both"/>
        <w:rPr>
          <w:color w:val="FF0000"/>
        </w:rPr>
      </w:pPr>
    </w:p>
    <w:p w14:paraId="3B777FB3" w14:textId="77777777" w:rsidR="000E5812" w:rsidRPr="004A46EF" w:rsidRDefault="000E5812" w:rsidP="003F592F">
      <w:pPr>
        <w:jc w:val="both"/>
        <w:rPr>
          <w:color w:val="FF0000"/>
        </w:rPr>
      </w:pPr>
    </w:p>
    <w:p w14:paraId="6D134020" w14:textId="77777777" w:rsidR="003F592F" w:rsidRDefault="003F592F" w:rsidP="003F592F">
      <w:pPr>
        <w:spacing w:line="240" w:lineRule="auto"/>
        <w:jc w:val="both"/>
        <w:rPr>
          <w:color w:val="FF0000"/>
        </w:rPr>
      </w:pPr>
    </w:p>
    <w:p w14:paraId="726ADC74" w14:textId="77777777" w:rsidR="000E5812" w:rsidRPr="004A46EF" w:rsidRDefault="000E5812" w:rsidP="003F592F">
      <w:pPr>
        <w:spacing w:line="240" w:lineRule="auto"/>
        <w:jc w:val="both"/>
      </w:pPr>
    </w:p>
    <w:p w14:paraId="168FF760" w14:textId="77777777" w:rsidR="003F592F" w:rsidRPr="004A46EF" w:rsidRDefault="003F592F" w:rsidP="003F592F">
      <w:pPr>
        <w:pStyle w:val="Heading3"/>
      </w:pPr>
      <w:r w:rsidRPr="004A46EF">
        <w:t>God’s discipline for offenders: 1Cor.11:27-34</w:t>
      </w:r>
    </w:p>
    <w:p w14:paraId="43C42DEB" w14:textId="77777777" w:rsidR="003F592F" w:rsidRDefault="003F592F" w:rsidP="003F592F">
      <w:pPr>
        <w:rPr>
          <w:color w:val="FF0000"/>
        </w:rPr>
      </w:pPr>
    </w:p>
    <w:p w14:paraId="08983399" w14:textId="77777777" w:rsidR="000E5812" w:rsidRDefault="000E5812" w:rsidP="003F592F">
      <w:pPr>
        <w:rPr>
          <w:color w:val="FF0000"/>
        </w:rPr>
      </w:pPr>
    </w:p>
    <w:p w14:paraId="520025F6" w14:textId="77777777" w:rsidR="000E5812" w:rsidRDefault="000E5812" w:rsidP="003F592F">
      <w:pPr>
        <w:rPr>
          <w:color w:val="FF0000"/>
        </w:rPr>
      </w:pPr>
    </w:p>
    <w:p w14:paraId="6ABD1CBD" w14:textId="77777777" w:rsidR="000E5812" w:rsidRPr="004A46EF" w:rsidRDefault="000E5812" w:rsidP="003F592F">
      <w:pPr>
        <w:rPr>
          <w:color w:val="FF0000"/>
        </w:rPr>
      </w:pPr>
    </w:p>
    <w:p w14:paraId="5822632A" w14:textId="77777777" w:rsidR="003F592F" w:rsidRPr="004A46EF" w:rsidRDefault="003F592F" w:rsidP="003F592F">
      <w:pPr>
        <w:rPr>
          <w:color w:val="FF0000"/>
        </w:rPr>
        <w:sectPr w:rsidR="003F592F" w:rsidRPr="004A46EF" w:rsidSect="003764E1">
          <w:endnotePr>
            <w:numFmt w:val="decimal"/>
          </w:endnotePr>
          <w:pgSz w:w="12240" w:h="15840"/>
          <w:pgMar w:top="1440" w:right="1440" w:bottom="1440" w:left="1440" w:header="360" w:footer="360" w:gutter="0"/>
          <w:cols w:space="720"/>
        </w:sectPr>
      </w:pPr>
    </w:p>
    <w:p w14:paraId="3A433772" w14:textId="25A127D8" w:rsidR="003F592F" w:rsidRPr="004A46EF" w:rsidRDefault="00E2289B" w:rsidP="003F592F">
      <w:pPr>
        <w:pStyle w:val="Heading1"/>
      </w:pPr>
      <w:hyperlink w:anchor="top" w:history="1">
        <w:r w:rsidR="003F592F" w:rsidRPr="0088737F">
          <w:rPr>
            <w:rStyle w:val="Hyperlink"/>
          </w:rPr>
          <w:t xml:space="preserve">Lesson </w:t>
        </w:r>
        <w:r w:rsidR="008C3495" w:rsidRPr="0088737F">
          <w:rPr>
            <w:rStyle w:val="Hyperlink"/>
          </w:rPr>
          <w:t>Five</w:t>
        </w:r>
        <w:r w:rsidR="003F592F" w:rsidRPr="0088737F">
          <w:rPr>
            <w:rStyle w:val="Hyperlink"/>
          </w:rPr>
          <w:t>:</w:t>
        </w:r>
      </w:hyperlink>
      <w:r w:rsidR="003F592F" w:rsidRPr="004A46EF">
        <w:t xml:space="preserve"> Secondary issues</w:t>
      </w:r>
      <w:r w:rsidR="0088737F">
        <w:t xml:space="preserve"> </w:t>
      </w:r>
      <w:bookmarkStart w:id="6" w:name="five"/>
      <w:bookmarkEnd w:id="6"/>
    </w:p>
    <w:p w14:paraId="3FB2ED8D" w14:textId="77777777" w:rsidR="003F592F" w:rsidRPr="004A46EF" w:rsidRDefault="003F592F" w:rsidP="003F592F">
      <w:pPr>
        <w:pStyle w:val="Heading3"/>
      </w:pPr>
      <w:r w:rsidRPr="004A46EF">
        <w:t>Paedo-Communion</w:t>
      </w:r>
    </w:p>
    <w:p w14:paraId="4E500B98" w14:textId="77777777" w:rsidR="003F592F" w:rsidRPr="004A46EF" w:rsidRDefault="003F592F" w:rsidP="003F592F">
      <w:pPr>
        <w:jc w:val="both"/>
      </w:pPr>
      <w:r w:rsidRPr="004A46EF">
        <w:t>Some hold that small children should be allowed to participate in the Lord’s Supper. They base this view on the old Passover feast in which the whole family participated, children included.</w:t>
      </w:r>
    </w:p>
    <w:p w14:paraId="6FD9AA18" w14:textId="77777777" w:rsidR="003F592F" w:rsidRPr="004A46EF" w:rsidRDefault="003F592F" w:rsidP="003F592F">
      <w:pPr>
        <w:jc w:val="both"/>
      </w:pPr>
    </w:p>
    <w:p w14:paraId="0C5F5FCB" w14:textId="7BA55854" w:rsidR="003F592F" w:rsidRPr="004A46EF" w:rsidRDefault="003F592F" w:rsidP="003F592F">
      <w:pPr>
        <w:jc w:val="both"/>
      </w:pPr>
      <w:r w:rsidRPr="004A46EF">
        <w:t xml:space="preserve">The historical reformed view rejects paedo-communion on the grounds of 1Cor. 11:29. What in this text would suggest that small children should not partake? _______________  </w:t>
      </w:r>
      <w:r w:rsidR="00BB24E1" w:rsidRPr="004A46EF">
        <w:t xml:space="preserve"> </w:t>
      </w:r>
      <w:r w:rsidR="00BB24E1" w:rsidRPr="004A46EF">
        <w:rPr>
          <w:rStyle w:val="EndnoteReference"/>
        </w:rPr>
        <w:endnoteReference w:id="5"/>
      </w:r>
    </w:p>
    <w:p w14:paraId="41EAB900" w14:textId="77777777" w:rsidR="003F592F" w:rsidRPr="004A46EF" w:rsidRDefault="003F592F" w:rsidP="003F592F">
      <w:pPr>
        <w:jc w:val="both"/>
      </w:pPr>
    </w:p>
    <w:p w14:paraId="64C80F10" w14:textId="77777777" w:rsidR="003F592F" w:rsidRPr="004A46EF" w:rsidRDefault="003F592F" w:rsidP="003F592F">
      <w:pPr>
        <w:pStyle w:val="Heading3"/>
      </w:pPr>
      <w:r w:rsidRPr="004A46EF">
        <w:t>Auto-communion</w:t>
      </w:r>
    </w:p>
    <w:p w14:paraId="69F6BF63" w14:textId="64E28F62" w:rsidR="003F592F" w:rsidRPr="004A46EF" w:rsidRDefault="003F592F" w:rsidP="003F592F">
      <w:pPr>
        <w:jc w:val="both"/>
      </w:pPr>
      <w:r w:rsidRPr="004A46EF">
        <w:t>Some people think it is permissible to serve themselves the Lord’s Supper in the privacy of their own home. What in 1Cor.11:17-22 suggests this to be inappropriate? See also 1Cor.10:17 ___________________________</w:t>
      </w:r>
      <w:r w:rsidR="00BB24E1" w:rsidRPr="004A46EF">
        <w:t xml:space="preserve"> </w:t>
      </w:r>
      <w:r w:rsidR="00BB24E1" w:rsidRPr="004A46EF">
        <w:rPr>
          <w:rStyle w:val="EndnoteReference"/>
        </w:rPr>
        <w:endnoteReference w:id="6"/>
      </w:r>
    </w:p>
    <w:p w14:paraId="3A192C5B" w14:textId="77777777" w:rsidR="003F592F" w:rsidRPr="004A46EF" w:rsidRDefault="003F592F" w:rsidP="003F592F">
      <w:pPr>
        <w:jc w:val="both"/>
      </w:pPr>
    </w:p>
    <w:p w14:paraId="72C76E68" w14:textId="77777777" w:rsidR="003F592F" w:rsidRPr="004A46EF" w:rsidRDefault="003F592F" w:rsidP="003F592F">
      <w:pPr>
        <w:pStyle w:val="Heading3"/>
      </w:pPr>
      <w:r w:rsidRPr="004A46EF">
        <w:t>Serving the elements to people absent</w:t>
      </w:r>
    </w:p>
    <w:p w14:paraId="1BCC5EEB" w14:textId="77777777" w:rsidR="003F592F" w:rsidRDefault="003F592F" w:rsidP="003F592F">
      <w:pPr>
        <w:jc w:val="both"/>
        <w:rPr>
          <w:color w:val="FF0000"/>
        </w:rPr>
      </w:pPr>
    </w:p>
    <w:p w14:paraId="74047EB6" w14:textId="77777777" w:rsidR="000E5812" w:rsidRDefault="000E5812" w:rsidP="003F592F">
      <w:pPr>
        <w:jc w:val="both"/>
        <w:rPr>
          <w:color w:val="FF0000"/>
        </w:rPr>
      </w:pPr>
    </w:p>
    <w:p w14:paraId="6B7DF637" w14:textId="77777777" w:rsidR="000E5812" w:rsidRDefault="000E5812" w:rsidP="003F592F">
      <w:pPr>
        <w:jc w:val="both"/>
        <w:rPr>
          <w:color w:val="FF0000"/>
        </w:rPr>
      </w:pPr>
    </w:p>
    <w:p w14:paraId="5A5B7D9C" w14:textId="77777777" w:rsidR="000E5812" w:rsidRDefault="000E5812" w:rsidP="003F592F">
      <w:pPr>
        <w:jc w:val="both"/>
        <w:rPr>
          <w:color w:val="FF0000"/>
        </w:rPr>
      </w:pPr>
    </w:p>
    <w:p w14:paraId="02EEBD97" w14:textId="77777777" w:rsidR="000E5812" w:rsidRPr="004A46EF" w:rsidRDefault="000E5812" w:rsidP="003F592F">
      <w:pPr>
        <w:jc w:val="both"/>
        <w:rPr>
          <w:color w:val="FF0000"/>
        </w:rPr>
      </w:pPr>
    </w:p>
    <w:p w14:paraId="0A622B73" w14:textId="77777777" w:rsidR="003F592F" w:rsidRPr="004A46EF" w:rsidRDefault="003F592F" w:rsidP="003F592F">
      <w:pPr>
        <w:jc w:val="both"/>
      </w:pPr>
    </w:p>
    <w:p w14:paraId="73299897" w14:textId="77777777" w:rsidR="003F592F" w:rsidRPr="004A46EF" w:rsidRDefault="003F592F" w:rsidP="003F592F">
      <w:pPr>
        <w:jc w:val="both"/>
      </w:pPr>
      <w:r w:rsidRPr="004A46EF">
        <w:br w:type="page"/>
      </w:r>
    </w:p>
    <w:p w14:paraId="1DCFD371" w14:textId="77777777" w:rsidR="003F592F" w:rsidRPr="004A46EF" w:rsidRDefault="003F592F" w:rsidP="003F592F">
      <w:pPr>
        <w:jc w:val="both"/>
        <w:sectPr w:rsidR="003F592F" w:rsidRPr="004A46EF" w:rsidSect="003764E1">
          <w:endnotePr>
            <w:numFmt w:val="decimal"/>
          </w:endnotePr>
          <w:pgSz w:w="12240" w:h="15840"/>
          <w:pgMar w:top="1440" w:right="1440" w:bottom="1440" w:left="1440" w:header="360" w:footer="360" w:gutter="0"/>
          <w:cols w:space="720"/>
        </w:sectPr>
      </w:pPr>
    </w:p>
    <w:p w14:paraId="48EF4FD2" w14:textId="77777777" w:rsidR="003F592F" w:rsidRPr="004A46EF" w:rsidRDefault="003F592F" w:rsidP="003F592F">
      <w:pPr>
        <w:jc w:val="both"/>
      </w:pPr>
    </w:p>
    <w:p w14:paraId="0549FB0B" w14:textId="5178E8C6" w:rsidR="00997789" w:rsidRPr="004A46EF" w:rsidRDefault="007B537B" w:rsidP="00B14EE7">
      <w:pPr>
        <w:pStyle w:val="Heading2"/>
        <w:rPr>
          <w:lang w:val="en-US"/>
        </w:rPr>
      </w:pPr>
      <w:r w:rsidRPr="004A46EF">
        <w:rPr>
          <w:lang w:val="en-US"/>
        </w:rPr>
        <w:t>Group Exercis</w:t>
      </w:r>
      <w:r w:rsidR="00B14EE7" w:rsidRPr="004A46EF">
        <w:rPr>
          <w:lang w:val="en-US"/>
        </w:rPr>
        <w:t>e, optional</w:t>
      </w:r>
    </w:p>
    <w:p w14:paraId="1C26CDAA" w14:textId="77777777" w:rsidR="00997789" w:rsidRPr="004A46EF" w:rsidRDefault="00997789" w:rsidP="003F592F">
      <w:pPr>
        <w:jc w:val="both"/>
      </w:pPr>
    </w:p>
    <w:p w14:paraId="1F321F21" w14:textId="40A83A98" w:rsidR="003F592F" w:rsidRPr="004A46EF" w:rsidRDefault="00B14EE7" w:rsidP="003F592F">
      <w:pPr>
        <w:jc w:val="both"/>
      </w:pPr>
      <w:r w:rsidRPr="004A46EF">
        <w:t xml:space="preserve">Based on the Westminster Confession, Chapter 27, answer the following questions: </w:t>
      </w:r>
    </w:p>
    <w:p w14:paraId="6584857E" w14:textId="77777777" w:rsidR="003F592F" w:rsidRPr="004A46EF" w:rsidRDefault="003F592F" w:rsidP="003F592F"/>
    <w:p w14:paraId="28022065" w14:textId="1DC72EEA" w:rsidR="003F592F" w:rsidRPr="004A46EF" w:rsidRDefault="003F592F" w:rsidP="003F592F">
      <w:r w:rsidRPr="004A46EF">
        <w:t xml:space="preserve">1. </w:t>
      </w:r>
      <w:r w:rsidR="00B14EE7" w:rsidRPr="004A46EF">
        <w:t xml:space="preserve">Of what are the sacraments the sign and seals? </w:t>
      </w:r>
      <w:r w:rsidRPr="004A46EF">
        <w:t xml:space="preserve">______________________________________  </w:t>
      </w:r>
      <w:r w:rsidR="00AC7ABB" w:rsidRPr="004A46EF">
        <w:rPr>
          <w:rStyle w:val="EndnoteReference"/>
        </w:rPr>
        <w:endnoteReference w:id="7"/>
      </w:r>
      <w:r w:rsidRPr="004A46EF">
        <w:br/>
      </w:r>
    </w:p>
    <w:p w14:paraId="74A19290" w14:textId="3193DD0D" w:rsidR="003F592F" w:rsidRPr="004A46EF" w:rsidRDefault="003F592F" w:rsidP="003F592F">
      <w:r w:rsidRPr="004A46EF">
        <w:t xml:space="preserve">2. </w:t>
      </w:r>
      <w:r w:rsidR="00546F35" w:rsidRPr="004A46EF">
        <w:t>Who instituted the sacraments?</w:t>
      </w:r>
      <w:r w:rsidRPr="004A46EF">
        <w:t xml:space="preserve"> ________________________________________________ </w:t>
      </w:r>
      <w:r w:rsidR="00AC7ABB" w:rsidRPr="004A46EF">
        <w:rPr>
          <w:rStyle w:val="EndnoteReference"/>
        </w:rPr>
        <w:endnoteReference w:id="8"/>
      </w:r>
      <w:r w:rsidRPr="004A46EF">
        <w:br/>
      </w:r>
    </w:p>
    <w:p w14:paraId="75809047" w14:textId="2D2ED684" w:rsidR="003F592F" w:rsidRPr="004A46EF" w:rsidRDefault="003F592F" w:rsidP="003F592F">
      <w:r w:rsidRPr="004A46EF">
        <w:t xml:space="preserve">3. </w:t>
      </w:r>
      <w:r w:rsidR="00546F35" w:rsidRPr="004A46EF">
        <w:t>Who or what do the sacraments represent?</w:t>
      </w:r>
      <w:r w:rsidRPr="004A46EF">
        <w:t xml:space="preserve"> _______________________________________ </w:t>
      </w:r>
      <w:r w:rsidR="00AC7ABB" w:rsidRPr="004A46EF">
        <w:rPr>
          <w:rStyle w:val="EndnoteReference"/>
        </w:rPr>
        <w:endnoteReference w:id="9"/>
      </w:r>
      <w:r w:rsidRPr="004A46EF">
        <w:br/>
      </w:r>
    </w:p>
    <w:p w14:paraId="602BD845" w14:textId="1D35763D" w:rsidR="003F592F" w:rsidRPr="004A46EF" w:rsidRDefault="003F592F" w:rsidP="003F592F">
      <w:r w:rsidRPr="004A46EF">
        <w:t xml:space="preserve">4. </w:t>
      </w:r>
      <w:r w:rsidR="00546F35" w:rsidRPr="004A46EF">
        <w:t xml:space="preserve">On what does the </w:t>
      </w:r>
      <w:r w:rsidR="007B537B" w:rsidRPr="004A46EF">
        <w:t>efficacy</w:t>
      </w:r>
      <w:r w:rsidR="00546F35" w:rsidRPr="004A46EF">
        <w:t xml:space="preserve"> of the sacraments depend?</w:t>
      </w:r>
      <w:r w:rsidRPr="004A46EF">
        <w:t xml:space="preserve"> _____________________________________ </w:t>
      </w:r>
      <w:r w:rsidR="0028741E" w:rsidRPr="004A46EF">
        <w:rPr>
          <w:rStyle w:val="EndnoteReference"/>
        </w:rPr>
        <w:endnoteReference w:id="10"/>
      </w:r>
      <w:r w:rsidRPr="004A46EF">
        <w:br/>
      </w:r>
    </w:p>
    <w:p w14:paraId="0D14BF3D" w14:textId="0CEEF430" w:rsidR="003F592F" w:rsidRPr="004A46EF" w:rsidRDefault="003F592F" w:rsidP="003F592F">
      <w:r w:rsidRPr="004A46EF">
        <w:t xml:space="preserve">5. </w:t>
      </w:r>
      <w:r w:rsidR="00546F35" w:rsidRPr="004A46EF">
        <w:t>Who has the authority to administer the sacraments?</w:t>
      </w:r>
      <w:r w:rsidRPr="004A46EF">
        <w:t xml:space="preserve"> _____________________________ </w:t>
      </w:r>
      <w:r w:rsidR="0028741E" w:rsidRPr="004A46EF">
        <w:rPr>
          <w:rStyle w:val="EndnoteReference"/>
        </w:rPr>
        <w:endnoteReference w:id="11"/>
      </w:r>
      <w:r w:rsidRPr="004A46EF">
        <w:br/>
      </w:r>
    </w:p>
    <w:p w14:paraId="02A4A043" w14:textId="77777777" w:rsidR="00AD0BF0" w:rsidRDefault="003F592F" w:rsidP="003F592F">
      <w:r w:rsidRPr="004A46EF">
        <w:t xml:space="preserve">6. </w:t>
      </w:r>
      <w:r w:rsidR="00546F35" w:rsidRPr="004A46EF">
        <w:t>What relationship do the Old Testament sacraments have with those of the New Testament?</w:t>
      </w:r>
      <w:r w:rsidRPr="004A46EF">
        <w:t xml:space="preserve"> ________________________ </w:t>
      </w:r>
      <w:r w:rsidR="0028741E" w:rsidRPr="004A46EF">
        <w:rPr>
          <w:rStyle w:val="EndnoteReference"/>
        </w:rPr>
        <w:endnoteReference w:id="12"/>
      </w:r>
    </w:p>
    <w:p w14:paraId="5D79696D" w14:textId="77777777" w:rsidR="00AD0BF0" w:rsidRDefault="00AD0BF0" w:rsidP="003F592F"/>
    <w:p w14:paraId="3754D5A8" w14:textId="77777777" w:rsidR="00AD0BF0" w:rsidRDefault="00AD0BF0" w:rsidP="003F592F"/>
    <w:p w14:paraId="4C9568B2" w14:textId="77777777" w:rsidR="00AD0BF0" w:rsidRDefault="00AD0BF0" w:rsidP="003F592F"/>
    <w:p w14:paraId="1ADE4643" w14:textId="77777777" w:rsidR="00AD0BF0" w:rsidRDefault="00AD0BF0" w:rsidP="003F592F"/>
    <w:p w14:paraId="05988134" w14:textId="77777777" w:rsidR="00AD0BF0" w:rsidRDefault="00AD0BF0" w:rsidP="00AD0BF0">
      <w:pPr>
        <w:jc w:val="center"/>
      </w:pPr>
      <w:r>
        <w:t>Those who liked this study may also like our other works by Smalling.</w:t>
      </w:r>
    </w:p>
    <w:p w14:paraId="2538DAD1" w14:textId="46A15C0A" w:rsidR="00AD0BF0" w:rsidRDefault="00E2289B" w:rsidP="00AD0BF0">
      <w:pPr>
        <w:jc w:val="center"/>
      </w:pPr>
      <w:hyperlink r:id="rId8" w:history="1">
        <w:r w:rsidR="00AD0BF0">
          <w:rPr>
            <w:rStyle w:val="Hyperlink"/>
          </w:rPr>
          <w:t>www.smallings.com</w:t>
        </w:r>
      </w:hyperlink>
    </w:p>
    <w:p w14:paraId="527C2E77" w14:textId="77777777" w:rsidR="00AD0BF0" w:rsidRDefault="00AD0BF0" w:rsidP="003F592F"/>
    <w:p w14:paraId="010F7A7F" w14:textId="77777777" w:rsidR="00AD0BF0" w:rsidRDefault="00AD0BF0" w:rsidP="003F592F"/>
    <w:p w14:paraId="49DB16C1" w14:textId="77777777" w:rsidR="00AD0BF0" w:rsidRDefault="00AD0BF0" w:rsidP="003F592F"/>
    <w:p w14:paraId="6FF93769" w14:textId="00A4EF47" w:rsidR="003F592F" w:rsidRPr="004A46EF" w:rsidRDefault="003F592F" w:rsidP="003F592F">
      <w:r w:rsidRPr="004A46EF">
        <w:br w:type="page"/>
      </w:r>
    </w:p>
    <w:p w14:paraId="46CFB673" w14:textId="77777777" w:rsidR="005E190C" w:rsidRPr="004A46EF" w:rsidRDefault="005E190C" w:rsidP="003764E1"/>
    <w:sectPr w:rsidR="005E190C" w:rsidRPr="004A46EF" w:rsidSect="003764E1">
      <w:endnotePr>
        <w:numFmt w:val="decimal"/>
      </w:endnotePr>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1C2E4" w14:textId="77777777" w:rsidR="004F5B85" w:rsidRDefault="004F5B85" w:rsidP="003F592F">
      <w:pPr>
        <w:spacing w:line="240" w:lineRule="auto"/>
      </w:pPr>
      <w:r>
        <w:separator/>
      </w:r>
    </w:p>
  </w:endnote>
  <w:endnote w:type="continuationSeparator" w:id="0">
    <w:p w14:paraId="266753C9" w14:textId="77777777" w:rsidR="004F5B85" w:rsidRDefault="004F5B85" w:rsidP="003F592F">
      <w:pPr>
        <w:spacing w:line="240" w:lineRule="auto"/>
      </w:pPr>
      <w:r>
        <w:continuationSeparator/>
      </w:r>
    </w:p>
  </w:endnote>
  <w:endnote w:id="1">
    <w:p w14:paraId="677A66FD" w14:textId="0366CAF7" w:rsidR="004F5B85" w:rsidRDefault="004F5B85" w:rsidP="00BB24E1">
      <w:pPr>
        <w:pStyle w:val="FootnoteText"/>
      </w:pPr>
      <w:r>
        <w:rPr>
          <w:rStyle w:val="EndnoteReference"/>
        </w:rPr>
        <w:endnoteRef/>
      </w:r>
      <w:r>
        <w:t xml:space="preserve"> </w:t>
      </w:r>
      <w:r w:rsidRPr="00BB24E1">
        <w:rPr>
          <w:sz w:val="20"/>
        </w:rPr>
        <w:t>Find other texts in scripture that are clearer.</w:t>
      </w:r>
    </w:p>
  </w:endnote>
  <w:endnote w:id="2">
    <w:p w14:paraId="7451D464" w14:textId="6B945500" w:rsidR="004F5B85" w:rsidRPr="00E137B3" w:rsidRDefault="004F5B85" w:rsidP="00BB24E1">
      <w:pPr>
        <w:pStyle w:val="FootnoteText"/>
        <w:rPr>
          <w:sz w:val="20"/>
        </w:rPr>
      </w:pPr>
      <w:r>
        <w:rPr>
          <w:rStyle w:val="EndnoteReference"/>
        </w:rPr>
        <w:endnoteRef/>
      </w:r>
      <w:r>
        <w:t xml:space="preserve"> </w:t>
      </w:r>
      <w:r w:rsidRPr="00E137B3">
        <w:rPr>
          <w:sz w:val="20"/>
        </w:rPr>
        <w:t>The Holy Spirit and cleansing.</w:t>
      </w:r>
    </w:p>
  </w:endnote>
  <w:endnote w:id="3">
    <w:p w14:paraId="425FE97D" w14:textId="7E22D734" w:rsidR="004F5B85" w:rsidRDefault="004F5B85">
      <w:pPr>
        <w:pStyle w:val="EndnoteText"/>
      </w:pPr>
      <w:r>
        <w:rPr>
          <w:rStyle w:val="EndnoteReference"/>
        </w:rPr>
        <w:endnoteRef/>
      </w:r>
      <w:r>
        <w:t xml:space="preserve"> Outpouring</w:t>
      </w:r>
    </w:p>
  </w:endnote>
  <w:endnote w:id="4">
    <w:p w14:paraId="00038489" w14:textId="22C010F2" w:rsidR="004F5B85" w:rsidRDefault="004F5B85">
      <w:pPr>
        <w:pStyle w:val="EndnoteText"/>
      </w:pPr>
      <w:r>
        <w:rPr>
          <w:rStyle w:val="EndnoteReference"/>
        </w:rPr>
        <w:endnoteRef/>
      </w:r>
      <w:r>
        <w:t xml:space="preserve"> Zwingli was a Swiss reformer during the time of Luther. He and Luther had a dispute this point. </w:t>
      </w:r>
    </w:p>
  </w:endnote>
  <w:endnote w:id="5">
    <w:p w14:paraId="113A83DB" w14:textId="7A4508F2" w:rsidR="004F5B85" w:rsidRPr="00941776" w:rsidRDefault="004F5B85" w:rsidP="00BB24E1">
      <w:pPr>
        <w:pStyle w:val="FootnoteText"/>
        <w:rPr>
          <w:sz w:val="20"/>
        </w:rPr>
      </w:pPr>
      <w:r>
        <w:rPr>
          <w:rStyle w:val="EndnoteReference"/>
        </w:rPr>
        <w:endnoteRef/>
      </w:r>
      <w:r>
        <w:t xml:space="preserve"> </w:t>
      </w:r>
      <w:r w:rsidRPr="00941776">
        <w:rPr>
          <w:sz w:val="20"/>
        </w:rPr>
        <w:t xml:space="preserve">The person partaking must be able to discern the Lord’s body in it. This means able to understand what the elements represent, namely the sacrifice of Christ and his atonement for sin. This requires a degree of mental conceptions beyond the level of small children. Furthermore, the old Passover was celebrated in private homes, not in congregational worship as in the New Testament. Therefore, that argument is invalid. </w:t>
      </w:r>
    </w:p>
  </w:endnote>
  <w:endnote w:id="6">
    <w:p w14:paraId="62A382BC" w14:textId="76DA2DA8" w:rsidR="004F5B85" w:rsidRPr="00941776" w:rsidRDefault="004F5B85" w:rsidP="00AC7ABB">
      <w:pPr>
        <w:pStyle w:val="FootnoteText"/>
        <w:rPr>
          <w:sz w:val="20"/>
        </w:rPr>
      </w:pPr>
      <w:r>
        <w:rPr>
          <w:rStyle w:val="EndnoteReference"/>
        </w:rPr>
        <w:endnoteRef/>
      </w:r>
      <w:r>
        <w:t xml:space="preserve"> </w:t>
      </w:r>
      <w:r w:rsidRPr="00941776">
        <w:rPr>
          <w:sz w:val="20"/>
        </w:rPr>
        <w:t xml:space="preserve">The Lord’s Supper is also a celebration of the unity we have among believers in Christ, as one body. In this we see a play on the word “body.” The bread not only represents the physical body of Christ, it also represents the corpus of believers in him. Therefore it is illogical, indeed contradictory, to partake of the Lord’s Supper alone. </w:t>
      </w:r>
    </w:p>
  </w:endnote>
  <w:endnote w:id="7">
    <w:p w14:paraId="47E70508" w14:textId="3060BAAB" w:rsidR="004F5B85" w:rsidRPr="00941776" w:rsidRDefault="004F5B85" w:rsidP="0028741E">
      <w:pPr>
        <w:pStyle w:val="FootnoteText"/>
        <w:rPr>
          <w:sz w:val="20"/>
        </w:rPr>
      </w:pPr>
      <w:r>
        <w:rPr>
          <w:rStyle w:val="EndnoteReference"/>
        </w:rPr>
        <w:endnoteRef/>
      </w:r>
      <w:r>
        <w:t xml:space="preserve"> </w:t>
      </w:r>
      <w:r>
        <w:rPr>
          <w:sz w:val="20"/>
        </w:rPr>
        <w:t>The covenant of grace</w:t>
      </w:r>
    </w:p>
  </w:endnote>
  <w:endnote w:id="8">
    <w:p w14:paraId="0295FEDB" w14:textId="46400C96" w:rsidR="004F5B85" w:rsidRDefault="004F5B85">
      <w:pPr>
        <w:pStyle w:val="EndnoteText"/>
      </w:pPr>
      <w:r>
        <w:rPr>
          <w:rStyle w:val="EndnoteReference"/>
        </w:rPr>
        <w:endnoteRef/>
      </w:r>
      <w:r>
        <w:t xml:space="preserve"> Jesus</w:t>
      </w:r>
    </w:p>
  </w:endnote>
  <w:endnote w:id="9">
    <w:p w14:paraId="6312D35D" w14:textId="59AAAAEF" w:rsidR="004F5B85" w:rsidRDefault="004F5B85">
      <w:pPr>
        <w:pStyle w:val="EndnoteText"/>
      </w:pPr>
      <w:r>
        <w:rPr>
          <w:rStyle w:val="EndnoteReference"/>
        </w:rPr>
        <w:endnoteRef/>
      </w:r>
      <w:r>
        <w:t xml:space="preserve"> Christ and his benefits</w:t>
      </w:r>
    </w:p>
  </w:endnote>
  <w:endnote w:id="10">
    <w:p w14:paraId="596FA129" w14:textId="58E7F593" w:rsidR="004F5B85" w:rsidRDefault="004F5B85" w:rsidP="0028741E">
      <w:pPr>
        <w:pStyle w:val="FootnoteText"/>
      </w:pPr>
      <w:r>
        <w:rPr>
          <w:rStyle w:val="EndnoteReference"/>
        </w:rPr>
        <w:endnoteRef/>
      </w:r>
      <w:r>
        <w:t xml:space="preserve"> </w:t>
      </w:r>
      <w:r>
        <w:rPr>
          <w:sz w:val="20"/>
        </w:rPr>
        <w:t xml:space="preserve">The Holy Spirit </w:t>
      </w:r>
      <w:r>
        <w:t xml:space="preserve"> </w:t>
      </w:r>
    </w:p>
  </w:endnote>
  <w:endnote w:id="11">
    <w:p w14:paraId="7B261A5C" w14:textId="18AF5406" w:rsidR="004F5B85" w:rsidRPr="00941776" w:rsidRDefault="004F5B85" w:rsidP="0028741E">
      <w:pPr>
        <w:pStyle w:val="FootnoteText"/>
        <w:rPr>
          <w:sz w:val="20"/>
        </w:rPr>
      </w:pPr>
      <w:r>
        <w:rPr>
          <w:rStyle w:val="EndnoteReference"/>
        </w:rPr>
        <w:endnoteRef/>
      </w:r>
      <w:r>
        <w:t xml:space="preserve"> </w:t>
      </w:r>
      <w:r w:rsidRPr="00E2124D">
        <w:rPr>
          <w:sz w:val="20"/>
        </w:rPr>
        <w:t xml:space="preserve">Ministers of the gospel duly ordained. </w:t>
      </w:r>
    </w:p>
  </w:endnote>
  <w:endnote w:id="12">
    <w:p w14:paraId="5268EB8A" w14:textId="6E9E1F60" w:rsidR="004F5B85" w:rsidRDefault="004F5B85" w:rsidP="00941776">
      <w:pPr>
        <w:pStyle w:val="EndnoteText"/>
      </w:pPr>
      <w:r>
        <w:rPr>
          <w:rStyle w:val="EndnoteReference"/>
        </w:rPr>
        <w:endnoteRef/>
      </w:r>
      <w:r>
        <w:t xml:space="preserve"> The same thing, in that it represents the same spiritual aspects. </w:t>
      </w:r>
    </w:p>
    <w:p w14:paraId="7AD52637" w14:textId="415419A7" w:rsidR="004F5B85" w:rsidRDefault="004F5B8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724A2" w14:textId="77777777" w:rsidR="004F5B85" w:rsidRDefault="004F5B85" w:rsidP="003F592F">
      <w:pPr>
        <w:spacing w:line="240" w:lineRule="auto"/>
      </w:pPr>
      <w:r>
        <w:separator/>
      </w:r>
    </w:p>
  </w:footnote>
  <w:footnote w:type="continuationSeparator" w:id="0">
    <w:p w14:paraId="1086FFCD" w14:textId="77777777" w:rsidR="004F5B85" w:rsidRDefault="004F5B85" w:rsidP="003F592F">
      <w:pPr>
        <w:spacing w:line="240" w:lineRule="auto"/>
      </w:pPr>
      <w:r>
        <w:continuationSeparator/>
      </w:r>
    </w:p>
  </w:footnote>
  <w:footnote w:id="1">
    <w:p w14:paraId="12B29BBC" w14:textId="77777777" w:rsidR="004F5B85" w:rsidRDefault="004F5B85" w:rsidP="003F592F">
      <w:pPr>
        <w:pStyle w:val="FootnoteText"/>
      </w:pPr>
      <w:r>
        <w:rPr>
          <w:rStyle w:val="FootnoteReference"/>
        </w:rPr>
        <w:footnoteRef/>
      </w:r>
      <w:r>
        <w:t xml:space="preserve"> Take into account the totality of biblical teaching as it may relate to the subject at hand. </w:t>
      </w:r>
    </w:p>
  </w:footnote>
  <w:footnote w:id="2">
    <w:p w14:paraId="690D470C" w14:textId="77777777" w:rsidR="004F5B85" w:rsidRDefault="004F5B85" w:rsidP="003F592F">
      <w:pPr>
        <w:pStyle w:val="FootnoteText"/>
      </w:pPr>
      <w:r>
        <w:rPr>
          <w:rStyle w:val="FootnoteReference"/>
        </w:rPr>
        <w:footnoteRef/>
      </w:r>
      <w:r>
        <w:t xml:space="preserve"> The Bible itself. </w:t>
      </w:r>
    </w:p>
  </w:footnote>
  <w:footnote w:id="3">
    <w:p w14:paraId="3D6B89B3" w14:textId="77777777" w:rsidR="004F5B85" w:rsidRDefault="004F5B85" w:rsidP="003F592F">
      <w:pPr>
        <w:pStyle w:val="FootnoteText"/>
      </w:pPr>
      <w:r>
        <w:rPr>
          <w:rStyle w:val="FootnoteReference"/>
        </w:rPr>
        <w:footnoteRef/>
      </w:r>
      <w:r>
        <w:t xml:space="preserve"> There is only one correct interpretation of any verse. It can be deduced from the ordinary rules of interpretation.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810FC4"/>
    <w:multiLevelType w:val="hybridMultilevel"/>
    <w:tmpl w:val="EA5E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2BD5F33"/>
    <w:multiLevelType w:val="hybridMultilevel"/>
    <w:tmpl w:val="E3BA0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AAA0E79"/>
    <w:multiLevelType w:val="hybridMultilevel"/>
    <w:tmpl w:val="C2246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19451C"/>
    <w:multiLevelType w:val="hybridMultilevel"/>
    <w:tmpl w:val="179E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004D6E"/>
    <w:multiLevelType w:val="hybridMultilevel"/>
    <w:tmpl w:val="6FFC7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1"/>
  </w:num>
  <w:num w:numId="6">
    <w:abstractNumId w:val="8"/>
  </w:num>
  <w:num w:numId="7">
    <w:abstractNumId w:val="4"/>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92F"/>
    <w:rsid w:val="000129AE"/>
    <w:rsid w:val="000228B3"/>
    <w:rsid w:val="00087723"/>
    <w:rsid w:val="00090577"/>
    <w:rsid w:val="00094597"/>
    <w:rsid w:val="000E5812"/>
    <w:rsid w:val="0015337F"/>
    <w:rsid w:val="001954A9"/>
    <w:rsid w:val="001968AA"/>
    <w:rsid w:val="001A3663"/>
    <w:rsid w:val="001A7F98"/>
    <w:rsid w:val="00222873"/>
    <w:rsid w:val="002267E2"/>
    <w:rsid w:val="0023393D"/>
    <w:rsid w:val="00243BF5"/>
    <w:rsid w:val="00247B00"/>
    <w:rsid w:val="00272163"/>
    <w:rsid w:val="00276D7D"/>
    <w:rsid w:val="0028741E"/>
    <w:rsid w:val="002A06B8"/>
    <w:rsid w:val="00304FB5"/>
    <w:rsid w:val="00316BC9"/>
    <w:rsid w:val="0034331C"/>
    <w:rsid w:val="003764E1"/>
    <w:rsid w:val="00382D6C"/>
    <w:rsid w:val="00383C65"/>
    <w:rsid w:val="00392A7D"/>
    <w:rsid w:val="003C302C"/>
    <w:rsid w:val="003C62D5"/>
    <w:rsid w:val="003D68A0"/>
    <w:rsid w:val="003E014B"/>
    <w:rsid w:val="003E5017"/>
    <w:rsid w:val="003F592F"/>
    <w:rsid w:val="0041133A"/>
    <w:rsid w:val="0044375C"/>
    <w:rsid w:val="00445A9A"/>
    <w:rsid w:val="004A46EF"/>
    <w:rsid w:val="004E0981"/>
    <w:rsid w:val="004F5B85"/>
    <w:rsid w:val="00543796"/>
    <w:rsid w:val="00546F35"/>
    <w:rsid w:val="00552080"/>
    <w:rsid w:val="00585A02"/>
    <w:rsid w:val="005C5CA2"/>
    <w:rsid w:val="005C72DC"/>
    <w:rsid w:val="005E190C"/>
    <w:rsid w:val="005F049F"/>
    <w:rsid w:val="00612D65"/>
    <w:rsid w:val="00627506"/>
    <w:rsid w:val="00677437"/>
    <w:rsid w:val="00691B42"/>
    <w:rsid w:val="00694816"/>
    <w:rsid w:val="00733DF6"/>
    <w:rsid w:val="00752C8C"/>
    <w:rsid w:val="00757BA1"/>
    <w:rsid w:val="007971CE"/>
    <w:rsid w:val="007A386D"/>
    <w:rsid w:val="007B537B"/>
    <w:rsid w:val="007C109A"/>
    <w:rsid w:val="007C79E7"/>
    <w:rsid w:val="007D6F7C"/>
    <w:rsid w:val="007E3D97"/>
    <w:rsid w:val="007E436C"/>
    <w:rsid w:val="008122FF"/>
    <w:rsid w:val="008409B7"/>
    <w:rsid w:val="00884EBC"/>
    <w:rsid w:val="0088737F"/>
    <w:rsid w:val="008A3B4E"/>
    <w:rsid w:val="008A453A"/>
    <w:rsid w:val="008C3495"/>
    <w:rsid w:val="00922B26"/>
    <w:rsid w:val="00937F52"/>
    <w:rsid w:val="00941776"/>
    <w:rsid w:val="00976931"/>
    <w:rsid w:val="009950B4"/>
    <w:rsid w:val="00997789"/>
    <w:rsid w:val="009A0C65"/>
    <w:rsid w:val="009A15CF"/>
    <w:rsid w:val="009E395E"/>
    <w:rsid w:val="009F326D"/>
    <w:rsid w:val="00A7009F"/>
    <w:rsid w:val="00AC43A4"/>
    <w:rsid w:val="00AC7ABB"/>
    <w:rsid w:val="00AD0BF0"/>
    <w:rsid w:val="00B110B6"/>
    <w:rsid w:val="00B14EE7"/>
    <w:rsid w:val="00B208E5"/>
    <w:rsid w:val="00BB24E1"/>
    <w:rsid w:val="00BB6424"/>
    <w:rsid w:val="00C04C9E"/>
    <w:rsid w:val="00C1407D"/>
    <w:rsid w:val="00C36F50"/>
    <w:rsid w:val="00CA0751"/>
    <w:rsid w:val="00CE0CF2"/>
    <w:rsid w:val="00D2073D"/>
    <w:rsid w:val="00D317A3"/>
    <w:rsid w:val="00D42111"/>
    <w:rsid w:val="00D72204"/>
    <w:rsid w:val="00D75F49"/>
    <w:rsid w:val="00D80994"/>
    <w:rsid w:val="00D80C70"/>
    <w:rsid w:val="00DC67AD"/>
    <w:rsid w:val="00E0272C"/>
    <w:rsid w:val="00E03816"/>
    <w:rsid w:val="00E137B3"/>
    <w:rsid w:val="00E2124D"/>
    <w:rsid w:val="00E2289B"/>
    <w:rsid w:val="00E37040"/>
    <w:rsid w:val="00E42742"/>
    <w:rsid w:val="00E50C5B"/>
    <w:rsid w:val="00EC6100"/>
    <w:rsid w:val="00ED477A"/>
    <w:rsid w:val="00EE1F9D"/>
    <w:rsid w:val="00F2691F"/>
    <w:rsid w:val="00F42847"/>
    <w:rsid w:val="00F60EA8"/>
    <w:rsid w:val="00F61EEC"/>
    <w:rsid w:val="00F87737"/>
    <w:rsid w:val="00F94ADA"/>
    <w:rsid w:val="00FA6034"/>
    <w:rsid w:val="00FE26C1"/>
    <w:rsid w:val="00FE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B2A52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Pr>
      <w:rFonts w:ascii="Verdana" w:eastAsia="Times New Roman" w:hAnsi="Verdana"/>
      <w:color w:val="000000"/>
      <w:sz w:val="24"/>
      <w:lang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752C8C"/>
    <w:pPr>
      <w:keepNext/>
      <w:spacing w:before="60" w:after="60"/>
      <w:outlineLvl w:val="1"/>
    </w:pPr>
    <w:rPr>
      <w:rFonts w:eastAsia="ＭＳ ゴシック" w:cs="Times"/>
      <w:b/>
      <w:bCs/>
      <w:i/>
      <w:iCs/>
      <w:sz w:val="28"/>
      <w:szCs w:val="28"/>
      <w:lang w:val="es-ES_tradnl"/>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szCs w:val="22"/>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752C8C"/>
    <w:rPr>
      <w:rFonts w:ascii="Verdana" w:eastAsia="ＭＳ ゴシック" w:hAnsi="Verdana" w:cs="Times"/>
      <w:b/>
      <w:bCs/>
      <w:i/>
      <w:iCs/>
      <w:sz w:val="28"/>
      <w:szCs w:val="28"/>
      <w:lang w:val="es-ES_tradnl"/>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ＭＳ 明朝"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3F592F"/>
    <w:pPr>
      <w:numPr>
        <w:ilvl w:val="1"/>
      </w:numPr>
      <w:spacing w:before="40" w:after="40"/>
      <w:jc w:val="center"/>
    </w:pPr>
    <w:rPr>
      <w:rFonts w:eastAsia="ＭＳ ゴシック"/>
      <w:i/>
      <w:iCs/>
      <w:color w:val="4F81BD"/>
      <w:spacing w:val="15"/>
      <w:szCs w:val="24"/>
      <w:lang w:val="es-ES_tradnl"/>
    </w:rPr>
  </w:style>
  <w:style w:type="character" w:customStyle="1" w:styleId="SubtitleChar">
    <w:name w:val="Subtitle Char"/>
    <w:basedOn w:val="DefaultParagraphFont"/>
    <w:link w:val="Subtitle"/>
    <w:uiPriority w:val="11"/>
    <w:rsid w:val="003F592F"/>
    <w:rPr>
      <w:rFonts w:ascii="Verdana" w:eastAsia="ＭＳ ゴシック" w:hAnsi="Verdana"/>
      <w:i/>
      <w:iCs/>
      <w:color w:val="4F81BD"/>
      <w:spacing w:val="15"/>
      <w:sz w:val="24"/>
      <w:szCs w:val="24"/>
      <w:lang w:val="es-ES_tradnl" w:eastAsia="en-US"/>
    </w:rPr>
  </w:style>
  <w:style w:type="paragraph" w:styleId="FootnoteText">
    <w:name w:val="footnote text"/>
    <w:basedOn w:val="Normal"/>
    <w:link w:val="FootnoteTextChar"/>
    <w:uiPriority w:val="99"/>
    <w:unhideWhenUsed/>
    <w:rsid w:val="003F592F"/>
    <w:pPr>
      <w:spacing w:line="240" w:lineRule="auto"/>
    </w:pPr>
    <w:rPr>
      <w:szCs w:val="24"/>
    </w:rPr>
  </w:style>
  <w:style w:type="character" w:customStyle="1" w:styleId="FootnoteTextChar">
    <w:name w:val="Footnote Text Char"/>
    <w:basedOn w:val="DefaultParagraphFont"/>
    <w:link w:val="FootnoteText"/>
    <w:uiPriority w:val="99"/>
    <w:rsid w:val="003F592F"/>
    <w:rPr>
      <w:rFonts w:ascii="Verdana" w:eastAsia="Times New Roman" w:hAnsi="Verdana"/>
      <w:color w:val="000000"/>
      <w:sz w:val="24"/>
      <w:szCs w:val="24"/>
      <w:lang w:eastAsia="en-US"/>
    </w:rPr>
  </w:style>
  <w:style w:type="character" w:styleId="FootnoteReference">
    <w:name w:val="footnote reference"/>
    <w:basedOn w:val="DefaultParagraphFont"/>
    <w:uiPriority w:val="99"/>
    <w:unhideWhenUsed/>
    <w:rsid w:val="003F592F"/>
    <w:rPr>
      <w:vertAlign w:val="superscript"/>
    </w:rPr>
  </w:style>
  <w:style w:type="paragraph" w:styleId="DocumentMap">
    <w:name w:val="Document Map"/>
    <w:basedOn w:val="Normal"/>
    <w:link w:val="DocumentMapChar"/>
    <w:uiPriority w:val="99"/>
    <w:semiHidden/>
    <w:unhideWhenUsed/>
    <w:rsid w:val="00E2124D"/>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E2124D"/>
    <w:rPr>
      <w:rFonts w:ascii="Lucida Grande" w:eastAsia="Times New Roman" w:hAnsi="Lucida Grande" w:cs="Lucida Grande"/>
      <w:color w:val="000000"/>
      <w:sz w:val="24"/>
      <w:szCs w:val="24"/>
      <w:lang w:eastAsia="en-US"/>
    </w:rPr>
  </w:style>
  <w:style w:type="character" w:styleId="Strong">
    <w:name w:val="Strong"/>
    <w:basedOn w:val="DefaultParagraphFont"/>
    <w:uiPriority w:val="22"/>
    <w:qFormat/>
    <w:rsid w:val="00EC6100"/>
    <w:rPr>
      <w:b/>
      <w:bCs/>
    </w:rPr>
  </w:style>
  <w:style w:type="character" w:styleId="Hyperlink">
    <w:name w:val="Hyperlink"/>
    <w:basedOn w:val="DefaultParagraphFont"/>
    <w:uiPriority w:val="99"/>
    <w:unhideWhenUsed/>
    <w:rsid w:val="00087723"/>
    <w:rPr>
      <w:color w:val="0000FF" w:themeColor="hyperlink"/>
      <w:u w:val="single"/>
    </w:rPr>
  </w:style>
  <w:style w:type="character" w:styleId="FollowedHyperlink">
    <w:name w:val="FollowedHyperlink"/>
    <w:basedOn w:val="DefaultParagraphFont"/>
    <w:uiPriority w:val="99"/>
    <w:semiHidden/>
    <w:unhideWhenUsed/>
    <w:rsid w:val="0008772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Pr>
      <w:rFonts w:ascii="Verdana" w:eastAsia="Times New Roman" w:hAnsi="Verdana"/>
      <w:color w:val="000000"/>
      <w:sz w:val="24"/>
      <w:lang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752C8C"/>
    <w:pPr>
      <w:keepNext/>
      <w:spacing w:before="60" w:after="60"/>
      <w:outlineLvl w:val="1"/>
    </w:pPr>
    <w:rPr>
      <w:rFonts w:eastAsia="ＭＳ ゴシック" w:cs="Times"/>
      <w:b/>
      <w:bCs/>
      <w:i/>
      <w:iCs/>
      <w:sz w:val="28"/>
      <w:szCs w:val="28"/>
      <w:lang w:val="es-ES_tradnl"/>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szCs w:val="22"/>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752C8C"/>
    <w:rPr>
      <w:rFonts w:ascii="Verdana" w:eastAsia="ＭＳ ゴシック" w:hAnsi="Verdana" w:cs="Times"/>
      <w:b/>
      <w:bCs/>
      <w:i/>
      <w:iCs/>
      <w:sz w:val="28"/>
      <w:szCs w:val="28"/>
      <w:lang w:val="es-ES_tradnl"/>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ＭＳ 明朝"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3F592F"/>
    <w:pPr>
      <w:numPr>
        <w:ilvl w:val="1"/>
      </w:numPr>
      <w:spacing w:before="40" w:after="40"/>
      <w:jc w:val="center"/>
    </w:pPr>
    <w:rPr>
      <w:rFonts w:eastAsia="ＭＳ ゴシック"/>
      <w:i/>
      <w:iCs/>
      <w:color w:val="4F81BD"/>
      <w:spacing w:val="15"/>
      <w:szCs w:val="24"/>
      <w:lang w:val="es-ES_tradnl"/>
    </w:rPr>
  </w:style>
  <w:style w:type="character" w:customStyle="1" w:styleId="SubtitleChar">
    <w:name w:val="Subtitle Char"/>
    <w:basedOn w:val="DefaultParagraphFont"/>
    <w:link w:val="Subtitle"/>
    <w:uiPriority w:val="11"/>
    <w:rsid w:val="003F592F"/>
    <w:rPr>
      <w:rFonts w:ascii="Verdana" w:eastAsia="ＭＳ ゴシック" w:hAnsi="Verdana"/>
      <w:i/>
      <w:iCs/>
      <w:color w:val="4F81BD"/>
      <w:spacing w:val="15"/>
      <w:sz w:val="24"/>
      <w:szCs w:val="24"/>
      <w:lang w:val="es-ES_tradnl" w:eastAsia="en-US"/>
    </w:rPr>
  </w:style>
  <w:style w:type="paragraph" w:styleId="FootnoteText">
    <w:name w:val="footnote text"/>
    <w:basedOn w:val="Normal"/>
    <w:link w:val="FootnoteTextChar"/>
    <w:uiPriority w:val="99"/>
    <w:unhideWhenUsed/>
    <w:rsid w:val="003F592F"/>
    <w:pPr>
      <w:spacing w:line="240" w:lineRule="auto"/>
    </w:pPr>
    <w:rPr>
      <w:szCs w:val="24"/>
    </w:rPr>
  </w:style>
  <w:style w:type="character" w:customStyle="1" w:styleId="FootnoteTextChar">
    <w:name w:val="Footnote Text Char"/>
    <w:basedOn w:val="DefaultParagraphFont"/>
    <w:link w:val="FootnoteText"/>
    <w:uiPriority w:val="99"/>
    <w:rsid w:val="003F592F"/>
    <w:rPr>
      <w:rFonts w:ascii="Verdana" w:eastAsia="Times New Roman" w:hAnsi="Verdana"/>
      <w:color w:val="000000"/>
      <w:sz w:val="24"/>
      <w:szCs w:val="24"/>
      <w:lang w:eastAsia="en-US"/>
    </w:rPr>
  </w:style>
  <w:style w:type="character" w:styleId="FootnoteReference">
    <w:name w:val="footnote reference"/>
    <w:basedOn w:val="DefaultParagraphFont"/>
    <w:uiPriority w:val="99"/>
    <w:unhideWhenUsed/>
    <w:rsid w:val="003F592F"/>
    <w:rPr>
      <w:vertAlign w:val="superscript"/>
    </w:rPr>
  </w:style>
  <w:style w:type="paragraph" w:styleId="DocumentMap">
    <w:name w:val="Document Map"/>
    <w:basedOn w:val="Normal"/>
    <w:link w:val="DocumentMapChar"/>
    <w:uiPriority w:val="99"/>
    <w:semiHidden/>
    <w:unhideWhenUsed/>
    <w:rsid w:val="00E2124D"/>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E2124D"/>
    <w:rPr>
      <w:rFonts w:ascii="Lucida Grande" w:eastAsia="Times New Roman" w:hAnsi="Lucida Grande" w:cs="Lucida Grande"/>
      <w:color w:val="000000"/>
      <w:sz w:val="24"/>
      <w:szCs w:val="24"/>
      <w:lang w:eastAsia="en-US"/>
    </w:rPr>
  </w:style>
  <w:style w:type="character" w:styleId="Strong">
    <w:name w:val="Strong"/>
    <w:basedOn w:val="DefaultParagraphFont"/>
    <w:uiPriority w:val="22"/>
    <w:qFormat/>
    <w:rsid w:val="00EC6100"/>
    <w:rPr>
      <w:b/>
      <w:bCs/>
    </w:rPr>
  </w:style>
  <w:style w:type="character" w:styleId="Hyperlink">
    <w:name w:val="Hyperlink"/>
    <w:basedOn w:val="DefaultParagraphFont"/>
    <w:uiPriority w:val="99"/>
    <w:unhideWhenUsed/>
    <w:rsid w:val="00087723"/>
    <w:rPr>
      <w:color w:val="0000FF" w:themeColor="hyperlink"/>
      <w:u w:val="single"/>
    </w:rPr>
  </w:style>
  <w:style w:type="character" w:styleId="FollowedHyperlink">
    <w:name w:val="FollowedHyperlink"/>
    <w:basedOn w:val="DefaultParagraphFont"/>
    <w:uiPriority w:val="99"/>
    <w:semiHidden/>
    <w:unhideWhenUsed/>
    <w:rsid w:val="000877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2128">
      <w:bodyDiv w:val="1"/>
      <w:marLeft w:val="0"/>
      <w:marRight w:val="0"/>
      <w:marTop w:val="0"/>
      <w:marBottom w:val="0"/>
      <w:divBdr>
        <w:top w:val="none" w:sz="0" w:space="0" w:color="auto"/>
        <w:left w:val="none" w:sz="0" w:space="0" w:color="auto"/>
        <w:bottom w:val="none" w:sz="0" w:space="0" w:color="auto"/>
        <w:right w:val="none" w:sz="0" w:space="0" w:color="auto"/>
      </w:divBdr>
    </w:div>
    <w:div w:id="1189685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malling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1194</Words>
  <Characters>6807</Characters>
  <Application>Microsoft Macintosh Word</Application>
  <DocSecurity>0</DocSecurity>
  <Lines>56</Lines>
  <Paragraphs>15</Paragraphs>
  <ScaleCrop>false</ScaleCrop>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3</cp:revision>
  <dcterms:created xsi:type="dcterms:W3CDTF">2017-07-21T13:08:00Z</dcterms:created>
  <dcterms:modified xsi:type="dcterms:W3CDTF">2017-07-21T13:10:00Z</dcterms:modified>
</cp:coreProperties>
</file>